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media/image3.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palament1"/>
        <w:tabs>
          <w:tab w:val="clear" w:pos="708"/>
          <w:tab w:val="left" w:pos="1635" w:leader="none"/>
        </w:tabs>
        <w:jc w:val="center"/>
        <w:rPr>
          <w:rFonts w:ascii="Calibri" w:hAnsi="Calibri" w:cs="Calibri"/>
          <w:sz w:val="36"/>
          <w:szCs w:val="36"/>
          <w:lang w:val="ca-ES"/>
        </w:rPr>
      </w:pPr>
      <w:r>
        <w:rPr>
          <w:rFonts w:cs="Calibri" w:ascii="Calibri" w:hAnsi="Calibri"/>
          <w:sz w:val="36"/>
          <w:szCs w:val="36"/>
          <w:lang w:val="ca-ES"/>
        </w:rPr>
        <w:t xml:space="preserve">ORGANISME AUTÒNOM </w:t>
      </w:r>
    </w:p>
    <w:p>
      <w:pPr>
        <w:pStyle w:val="Encapalament1"/>
        <w:tabs>
          <w:tab w:val="clear" w:pos="708"/>
          <w:tab w:val="left" w:pos="1635" w:leader="none"/>
        </w:tabs>
        <w:jc w:val="center"/>
        <w:rPr>
          <w:rFonts w:ascii="Calibri" w:hAnsi="Calibri" w:cs="Calibri"/>
          <w:sz w:val="36"/>
          <w:szCs w:val="36"/>
          <w:lang w:val="ca-ES"/>
        </w:rPr>
      </w:pPr>
      <w:r>
        <w:rPr>
          <w:rFonts w:cs="Calibri" w:ascii="Calibri" w:hAnsi="Calibri"/>
          <w:sz w:val="36"/>
          <w:szCs w:val="36"/>
          <w:lang w:val="ca-ES"/>
        </w:rPr>
      </w:r>
    </w:p>
    <w:p>
      <w:pPr>
        <w:pStyle w:val="Encapalament1"/>
        <w:tabs>
          <w:tab w:val="clear" w:pos="708"/>
          <w:tab w:val="left" w:pos="1635" w:leader="none"/>
        </w:tabs>
        <w:jc w:val="center"/>
        <w:rPr>
          <w:rFonts w:ascii="Calibri" w:hAnsi="Calibri" w:cs="Calibri"/>
          <w:sz w:val="36"/>
          <w:szCs w:val="36"/>
          <w:lang w:val="ca-ES"/>
        </w:rPr>
      </w:pPr>
      <w:r>
        <w:rPr>
          <w:rFonts w:cs="Calibri" w:ascii="Calibri" w:hAnsi="Calibri"/>
          <w:sz w:val="36"/>
          <w:szCs w:val="36"/>
          <w:lang w:val="ca-ES"/>
        </w:rPr>
        <w:t>ESCOLA MUNICIPAL DE MÚSICA DE PETRA</w:t>
      </w:r>
    </w:p>
    <w:p>
      <w:pPr>
        <w:pStyle w:val="Encapalament1"/>
        <w:tabs>
          <w:tab w:val="clear" w:pos="708"/>
          <w:tab w:val="left" w:pos="1635" w:leader="none"/>
        </w:tabs>
        <w:rPr>
          <w:rFonts w:ascii="Calibri" w:hAnsi="Calibri" w:cs="Calibri"/>
          <w:sz w:val="22"/>
          <w:szCs w:val="22"/>
          <w:lang w:val="ca-ES"/>
        </w:rPr>
      </w:pPr>
      <w:r>
        <w:rPr>
          <w:rFonts w:cs="Calibri" w:ascii="Calibri" w:hAnsi="Calibri"/>
          <w:sz w:val="22"/>
          <w:szCs w:val="22"/>
          <w:lang w:val="ca-ES"/>
        </w:rPr>
        <w:tab/>
      </w:r>
    </w:p>
    <w:p>
      <w:pPr>
        <w:pStyle w:val="Encapalament1"/>
        <w:jc w:val="center"/>
        <w:rPr>
          <w:rFonts w:ascii="Calibri" w:hAnsi="Calibri" w:cs="Calibri"/>
          <w:sz w:val="22"/>
          <w:szCs w:val="22"/>
          <w:lang w:val="ca-ES"/>
        </w:rPr>
      </w:pPr>
      <w:r>
        <w:rPr>
          <w:rFonts w:cs="Calibri" w:ascii="Calibri" w:hAnsi="Calibri"/>
          <w:sz w:val="22"/>
          <w:szCs w:val="22"/>
          <w:lang w:val="ca-ES"/>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Normal"/>
        <w:rPr>
          <w:rFonts w:ascii="Calibri" w:hAnsi="Calibri" w:cs="Calibri"/>
          <w:b/>
          <w:b/>
          <w:sz w:val="22"/>
          <w:szCs w:val="22"/>
        </w:rPr>
      </w:pPr>
      <w:r>
        <w:rPr>
          <w:rFonts w:cs="Calibri" w:ascii="Calibri" w:hAnsi="Calibri"/>
          <w:b/>
          <w:sz w:val="22"/>
          <w:szCs w:val="22"/>
        </w:rPr>
      </w:r>
    </w:p>
    <w:p>
      <w:pPr>
        <w:pStyle w:val="Encapalament2"/>
        <w:rPr>
          <w:rFonts w:ascii="Calibri" w:hAnsi="Calibri" w:cs="Calibri"/>
          <w:sz w:val="32"/>
          <w:szCs w:val="32"/>
          <w:lang w:val="ca-ES"/>
        </w:rPr>
      </w:pPr>
      <w:r>
        <w:rPr>
          <w:rFonts w:cs="Calibri" w:ascii="Calibri" w:hAnsi="Calibri"/>
          <w:sz w:val="32"/>
          <w:szCs w:val="32"/>
          <w:lang w:val="ca-ES"/>
        </w:rPr>
        <w:t xml:space="preserve">E X P E D I E N T  </w:t>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t xml:space="preserve">  </w:t>
      </w:r>
      <w:r>
        <w:rPr>
          <w:rFonts w:cs="Calibri" w:ascii="Calibri" w:hAnsi="Calibri"/>
          <w:sz w:val="32"/>
          <w:szCs w:val="32"/>
          <w:lang w:val="ca-ES"/>
        </w:rPr>
        <w:t xml:space="preserve">D ‘ A P R O V A C I Ó    D E     LA    L I Q U I D A C I Ó  </w:t>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r>
    </w:p>
    <w:p>
      <w:pPr>
        <w:pStyle w:val="Encapalament2"/>
        <w:rPr>
          <w:rFonts w:ascii="Calibri" w:hAnsi="Calibri" w:cs="Calibri"/>
          <w:sz w:val="32"/>
          <w:szCs w:val="32"/>
          <w:lang w:val="ca-ES"/>
        </w:rPr>
      </w:pPr>
      <w:r>
        <w:rPr>
          <w:rFonts w:cs="Calibri" w:ascii="Calibri" w:hAnsi="Calibri"/>
          <w:sz w:val="32"/>
          <w:szCs w:val="32"/>
          <w:lang w:val="ca-ES"/>
        </w:rPr>
        <w:t xml:space="preserve">  </w:t>
      </w:r>
      <w:r>
        <w:rPr>
          <w:rFonts w:cs="Calibri" w:ascii="Calibri" w:hAnsi="Calibri"/>
          <w:sz w:val="32"/>
          <w:szCs w:val="32"/>
          <w:lang w:val="ca-ES"/>
        </w:rPr>
        <w:t xml:space="preserve">D E L    P R E S S U P O S T </w:t>
      </w:r>
    </w:p>
    <w:p>
      <w:pPr>
        <w:pStyle w:val="Normal"/>
        <w:rPr>
          <w:rFonts w:ascii="Calibri" w:hAnsi="Calibri" w:cs="Calibri"/>
          <w:sz w:val="32"/>
          <w:szCs w:val="32"/>
        </w:rPr>
      </w:pPr>
      <w:r>
        <w:rPr>
          <w:rFonts w:cs="Calibri" w:ascii="Calibri" w:hAnsi="Calibri"/>
          <w:sz w:val="32"/>
          <w:szCs w:val="32"/>
        </w:rPr>
      </w:r>
    </w:p>
    <w:p>
      <w:pPr>
        <w:pStyle w:val="Normal"/>
        <w:rPr>
          <w:rFonts w:ascii="Calibri" w:hAnsi="Calibri" w:cs="Calibri"/>
          <w:sz w:val="32"/>
          <w:szCs w:val="32"/>
        </w:rPr>
      </w:pPr>
      <w:r>
        <w:rPr>
          <w:rFonts w:cs="Calibri" w:ascii="Calibri" w:hAnsi="Calibri"/>
          <w:sz w:val="32"/>
          <w:szCs w:val="32"/>
        </w:rPr>
      </w:r>
    </w:p>
    <w:p>
      <w:pPr>
        <w:pStyle w:val="Normal"/>
        <w:jc w:val="center"/>
        <w:rPr>
          <w:rFonts w:ascii="Calibri" w:hAnsi="Calibri" w:cs="Calibri"/>
          <w:b/>
          <w:b/>
          <w:sz w:val="32"/>
          <w:szCs w:val="32"/>
        </w:rPr>
      </w:pPr>
      <w:r>
        <w:rPr>
          <w:rFonts w:cs="Calibri" w:ascii="Calibri" w:hAnsi="Calibri"/>
          <w:b/>
          <w:sz w:val="32"/>
          <w:szCs w:val="32"/>
        </w:rPr>
      </w:r>
    </w:p>
    <w:p>
      <w:pPr>
        <w:pStyle w:val="Normal"/>
        <w:jc w:val="center"/>
        <w:rPr>
          <w:rFonts w:ascii="Calibri" w:hAnsi="Calibri" w:cs="Calibri"/>
          <w:b/>
          <w:b/>
          <w:sz w:val="32"/>
          <w:szCs w:val="32"/>
        </w:rPr>
      </w:pPr>
      <w:r>
        <w:rPr>
          <w:rFonts w:cs="Calibri" w:ascii="Calibri" w:hAnsi="Calibri"/>
          <w:b/>
          <w:sz w:val="32"/>
          <w:szCs w:val="32"/>
        </w:rPr>
        <w:t xml:space="preserve">  </w:t>
      </w:r>
      <w:r>
        <w:rPr>
          <w:rFonts w:cs="Calibri" w:ascii="Calibri" w:hAnsi="Calibri"/>
          <w:b/>
          <w:sz w:val="32"/>
          <w:szCs w:val="32"/>
        </w:rPr>
        <w:t>D E L    2 0 2 2</w:t>
      </w:r>
    </w:p>
    <w:p>
      <w:pPr>
        <w:pStyle w:val="Normal"/>
        <w:rPr>
          <w:rFonts w:ascii="Calibri" w:hAnsi="Calibri" w:cs="Calibri"/>
          <w:sz w:val="32"/>
          <w:szCs w:val="32"/>
        </w:rPr>
      </w:pPr>
      <w:r>
        <w:rPr>
          <w:rFonts w:cs="Calibri" w:ascii="Calibri" w:hAnsi="Calibri"/>
          <w:sz w:val="32"/>
          <w:szCs w:val="3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En Francisco González Benito, - Secretari-Interventor  de Fons d’aquest Organisme Autònom, en compliment del que es disposa en l'article 90 paràgraf 1er. del Reial Decret 500/1990 de 20 d'abril, té l'honor de formular la present liquidació de l'exercici pressupostari del 2022.</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Resultat Pressupostari</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tbl>
      <w:tblPr>
        <w:tblW w:w="7371"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566"/>
        <w:gridCol w:w="4536"/>
        <w:gridCol w:w="2269"/>
      </w:tblGrid>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1.</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DRETS RECONEGUTS NETS</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57.327,73</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2.</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OBLIGACIONS RECONEGUDES NETES</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52.221,97</w:t>
            </w:r>
          </w:p>
        </w:tc>
      </w:tr>
      <w:tr>
        <w:trPr/>
        <w:tc>
          <w:tcPr>
            <w:tcW w:w="56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453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t>RESULTAT PRESSUPOSTARI DE L’EXERCICI</w:t>
            </w:r>
          </w:p>
        </w:tc>
        <w:tc>
          <w:tcPr>
            <w:tcW w:w="2269"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5.105,76</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3.</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Crèdits finançats amb romanent general</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4.</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Desviacions de finançament negatiu</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c>
          <w:tcPr>
            <w:tcW w:w="56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5.</w:t>
            </w:r>
          </w:p>
        </w:tc>
        <w:tc>
          <w:tcPr>
            <w:tcW w:w="4536"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 Desviacions de finançament positiu</w:t>
            </w:r>
          </w:p>
        </w:tc>
        <w:tc>
          <w:tcPr>
            <w:tcW w:w="2269"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rHeight w:val="355" w:hRule="atLeast"/>
        </w:trPr>
        <w:tc>
          <w:tcPr>
            <w:tcW w:w="56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r>
          </w:p>
        </w:tc>
        <w:tc>
          <w:tcPr>
            <w:tcW w:w="4536" w:type="dxa"/>
            <w:tcBorders/>
            <w:shd w:color="auto" w:fill="auto" w:val="clear"/>
          </w:tcPr>
          <w:p>
            <w:pPr>
              <w:pStyle w:val="PlainText"/>
              <w:widowControl w:val="false"/>
              <w:jc w:val="both"/>
              <w:rPr>
                <w:rFonts w:ascii="Calibri" w:hAnsi="Calibri" w:cs="Calibri"/>
                <w:b/>
                <w:b/>
                <w:sz w:val="22"/>
                <w:szCs w:val="22"/>
              </w:rPr>
            </w:pPr>
            <w:r>
              <w:rPr>
                <w:rFonts w:cs="Calibri" w:ascii="Calibri" w:hAnsi="Calibri"/>
                <w:b/>
                <w:sz w:val="22"/>
                <w:szCs w:val="22"/>
              </w:rPr>
              <w:t>RESULTAT PRESSUPOSTARI AJUSTAT</w:t>
            </w:r>
          </w:p>
        </w:tc>
        <w:tc>
          <w:tcPr>
            <w:tcW w:w="2269" w:type="dxa"/>
            <w:tcBorders/>
            <w:shd w:color="auto" w:fill="auto" w:val="clear"/>
          </w:tcPr>
          <w:p>
            <w:pPr>
              <w:pStyle w:val="PlainText"/>
              <w:widowControl w:val="false"/>
              <w:jc w:val="right"/>
              <w:rPr>
                <w:rFonts w:ascii="Calibri" w:hAnsi="Calibri" w:cs="Calibri"/>
                <w:b/>
                <w:b/>
                <w:sz w:val="22"/>
                <w:szCs w:val="22"/>
              </w:rPr>
            </w:pPr>
            <w:r>
              <w:rPr>
                <w:rFonts w:cs="Calibri" w:ascii="Calibri" w:hAnsi="Calibri"/>
                <w:b/>
                <w:sz w:val="22"/>
                <w:szCs w:val="22"/>
              </w:rPr>
              <w:t>5.105,76</w:t>
            </w:r>
          </w:p>
        </w:tc>
      </w:tr>
    </w:tbl>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Romanent de Tresoreria</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tbl>
      <w:tblPr>
        <w:tblW w:w="796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386"/>
        <w:gridCol w:w="5461"/>
        <w:gridCol w:w="1056"/>
        <w:gridCol w:w="1056"/>
      </w:tblGrid>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1.</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FONS LÍQUIDS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11.529,40</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2.</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DRETS PENDENTS DE COBRAMENT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225,60</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del pressupost corrent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de pressupostos tancats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d'operacions no pressupostàries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225,60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3.</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OBLIGACIONS PENDENTS DE PAGAMENT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935,34</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del pressupost corrent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de pressupostos tancats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d'operacions no pressupostàries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935,34</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4.</w:t>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PARTIDES PENDENTS D'APLICACIÓ</w:t>
            </w:r>
          </w:p>
        </w:tc>
        <w:tc>
          <w:tcPr>
            <w:tcW w:w="105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2.468,09</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cobraments efectuats pendents d'aplicació definitiva</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pagaments efectuats pendents d'aplicació definitiva</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2.468,09</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exact"/>
        </w:trPr>
        <w:tc>
          <w:tcPr>
            <w:tcW w:w="386" w:type="dxa"/>
            <w:tcBorders/>
            <w:shd w:color="auto" w:fill="auto" w:val="clear"/>
            <w:vAlign w:val="center"/>
          </w:tcPr>
          <w:p>
            <w:pPr>
              <w:pStyle w:val="Normal"/>
              <w:widowControl w:val="false"/>
              <w:jc w:val="right"/>
              <w:rPr>
                <w:sz w:val="20"/>
                <w:szCs w:val="20"/>
              </w:rPr>
            </w:pPr>
            <w:r>
              <w:rPr>
                <w:sz w:val="20"/>
                <w:szCs w:val="20"/>
              </w:rPr>
            </w:r>
          </w:p>
        </w:tc>
        <w:tc>
          <w:tcPr>
            <w:tcW w:w="6517" w:type="dxa"/>
            <w:gridSpan w:val="2"/>
            <w:tcBorders/>
            <w:shd w:color="auto" w:fill="auto" w:val="clear"/>
            <w:vAlign w:val="center"/>
          </w:tcPr>
          <w:p>
            <w:pPr>
              <w:pStyle w:val="Normal"/>
              <w:widowControl w:val="false"/>
              <w:jc w:val="both"/>
              <w:rPr>
                <w:sz w:val="20"/>
                <w:szCs w:val="20"/>
              </w:rPr>
            </w:pPr>
            <w:r>
              <w:rPr>
                <w:sz w:val="20"/>
                <w:szCs w:val="20"/>
              </w:rPr>
            </w:r>
          </w:p>
        </w:tc>
        <w:tc>
          <w:tcPr>
            <w:tcW w:w="1056" w:type="dxa"/>
            <w:tcBorders/>
            <w:shd w:color="auto" w:fill="auto" w:val="clear"/>
            <w:vAlign w:val="center"/>
          </w:tcPr>
          <w:p>
            <w:pPr>
              <w:pStyle w:val="Normal"/>
              <w:widowControl w:val="false"/>
              <w:rPr>
                <w:sz w:val="20"/>
                <w:szCs w:val="20"/>
              </w:rPr>
            </w:pPr>
            <w:r>
              <w:rPr>
                <w:sz w:val="20"/>
                <w:szCs w:val="20"/>
              </w:rPr>
            </w:r>
          </w:p>
        </w:tc>
      </w:tr>
      <w:tr>
        <w:trPr>
          <w:trHeight w:val="300" w:hRule="atLeast"/>
        </w:trPr>
        <w:tc>
          <w:tcPr>
            <w:tcW w:w="38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I.</w:t>
            </w:r>
          </w:p>
        </w:tc>
        <w:tc>
          <w:tcPr>
            <w:tcW w:w="5461"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 xml:space="preserve">ROMANENT DE TRESORERIA TOTAL </w:t>
            </w:r>
          </w:p>
        </w:tc>
        <w:tc>
          <w:tcPr>
            <w:tcW w:w="105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r>
          </w:p>
        </w:tc>
        <w:tc>
          <w:tcPr>
            <w:tcW w:w="1056" w:type="dxa"/>
            <w:tcBorders/>
            <w:shd w:color="auto" w:fill="auto" w:val="clear"/>
            <w:vAlign w:val="center"/>
          </w:tcPr>
          <w:p>
            <w:pPr>
              <w:pStyle w:val="Normal"/>
              <w:widowControl w:val="false"/>
              <w:jc w:val="right"/>
              <w:rPr>
                <w:rFonts w:ascii="Calibri" w:hAnsi="Calibri"/>
                <w:b/>
                <w:b/>
                <w:bCs/>
                <w:color w:val="000000"/>
                <w:sz w:val="22"/>
                <w:szCs w:val="22"/>
              </w:rPr>
            </w:pPr>
            <w:r>
              <w:rPr>
                <w:rFonts w:ascii="Calibri" w:hAnsi="Calibri"/>
                <w:b/>
                <w:bCs/>
                <w:color w:val="000000"/>
                <w:sz w:val="22"/>
                <w:szCs w:val="22"/>
              </w:rPr>
              <w:t>13.287,75</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II.</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SALDO DE COBRAMENT DUBTÓS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III.</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EXCÉS DE FINANÇAMENT AFECTAT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r>
      <w:tr>
        <w:trPr>
          <w:trHeight w:val="300" w:hRule="atLeast"/>
        </w:trPr>
        <w:tc>
          <w:tcPr>
            <w:tcW w:w="38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IV.</w:t>
            </w:r>
          </w:p>
        </w:tc>
        <w:tc>
          <w:tcPr>
            <w:tcW w:w="5461" w:type="dxa"/>
            <w:tcBorders/>
            <w:shd w:color="auto" w:fill="auto" w:val="clear"/>
            <w:vAlign w:val="bottom"/>
          </w:tcPr>
          <w:p>
            <w:pPr>
              <w:pStyle w:val="Normal"/>
              <w:widowControl w:val="false"/>
              <w:rPr>
                <w:rFonts w:ascii="Calibri" w:hAnsi="Calibri"/>
                <w:b/>
                <w:b/>
                <w:bCs/>
                <w:color w:val="000000"/>
                <w:sz w:val="22"/>
                <w:szCs w:val="22"/>
              </w:rPr>
            </w:pPr>
            <w:r>
              <w:rPr>
                <w:rFonts w:ascii="Calibri" w:hAnsi="Calibri"/>
                <w:b/>
                <w:bCs/>
                <w:color w:val="000000"/>
                <w:sz w:val="22"/>
                <w:szCs w:val="22"/>
              </w:rPr>
              <w:t>ROMANENT DE TRESORERIA PER A DESPESES GENERALS</w:t>
            </w:r>
          </w:p>
        </w:tc>
        <w:tc>
          <w:tcPr>
            <w:tcW w:w="1056" w:type="dxa"/>
            <w:tcBorders/>
            <w:shd w:color="auto" w:fill="auto" w:val="clear"/>
            <w:vAlign w:val="bottom"/>
          </w:tcPr>
          <w:p>
            <w:pPr>
              <w:pStyle w:val="Normal"/>
              <w:widowControl w:val="false"/>
              <w:rPr>
                <w:rFonts w:ascii="Calibri" w:hAnsi="Calibri"/>
                <w:b/>
                <w:b/>
                <w:bCs/>
                <w:color w:val="000000"/>
                <w:sz w:val="22"/>
                <w:szCs w:val="22"/>
              </w:rPr>
            </w:pPr>
            <w:r>
              <w:rPr>
                <w:rFonts w:ascii="Calibri" w:hAnsi="Calibri"/>
                <w:b/>
                <w:bCs/>
                <w:color w:val="000000"/>
                <w:sz w:val="22"/>
                <w:szCs w:val="22"/>
              </w:rPr>
            </w:r>
          </w:p>
        </w:tc>
        <w:tc>
          <w:tcPr>
            <w:tcW w:w="1056" w:type="dxa"/>
            <w:tcBorders/>
            <w:shd w:color="auto" w:fill="auto" w:val="clear"/>
            <w:vAlign w:val="bottom"/>
          </w:tcPr>
          <w:p>
            <w:pPr>
              <w:pStyle w:val="Normal"/>
              <w:widowControl w:val="false"/>
              <w:jc w:val="right"/>
              <w:rPr>
                <w:rFonts w:ascii="Calibri" w:hAnsi="Calibri"/>
                <w:b/>
                <w:b/>
                <w:bCs/>
                <w:color w:val="000000"/>
                <w:sz w:val="22"/>
                <w:szCs w:val="22"/>
              </w:rPr>
            </w:pPr>
            <w:r>
              <w:rPr>
                <w:rFonts w:ascii="Calibri" w:hAnsi="Calibri"/>
                <w:b/>
                <w:bCs/>
                <w:color w:val="000000"/>
                <w:sz w:val="22"/>
                <w:szCs w:val="22"/>
              </w:rPr>
              <w:t>13.287,75</w:t>
            </w:r>
          </w:p>
        </w:tc>
      </w:tr>
    </w:tbl>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ab/>
        <w:t>Conseqüentment, la liquidació del Pressupost dona un resultat de 13.287,75,- Euros, sense que correspongui efectuar l’ajust de saldos de dubtós cobrament, ni cap quantitat sensible de ser incorporada amb finançament afectat.</w:t>
      </w:r>
    </w:p>
    <w:p>
      <w:pPr>
        <w:pStyle w:val="PlainText"/>
        <w:ind w:left="708" w:hanging="0"/>
        <w:jc w:val="both"/>
        <w:rPr>
          <w:rFonts w:ascii="Calibri" w:hAnsi="Calibri" w:cs="Calibri"/>
          <w:sz w:val="22"/>
          <w:szCs w:val="22"/>
        </w:rPr>
      </w:pPr>
      <w:r>
        <w:rPr>
          <w:rFonts w:cs="Calibri" w:ascii="Calibri" w:hAnsi="Calibri"/>
          <w:sz w:val="22"/>
          <w:szCs w:val="22"/>
        </w:rPr>
      </w:r>
    </w:p>
    <w:p>
      <w:pPr>
        <w:pStyle w:val="PlainText"/>
        <w:ind w:left="708" w:hanging="0"/>
        <w:jc w:val="both"/>
        <w:rPr>
          <w:rFonts w:ascii="Calibri" w:hAnsi="Calibri" w:cs="Calibri"/>
          <w:sz w:val="22"/>
          <w:szCs w:val="22"/>
        </w:rPr>
      </w:pPr>
      <w:r>
        <w:rPr>
          <w:rFonts w:cs="Calibri" w:ascii="Calibri" w:hAnsi="Calibri"/>
          <w:sz w:val="22"/>
          <w:szCs w:val="22"/>
        </w:rPr>
        <w:t>D’aquesta manera de l’esmentada Liquidació del Pressupost es dedueix el següent Romanent disponible:</w:t>
      </w:r>
    </w:p>
    <w:p>
      <w:pPr>
        <w:pStyle w:val="PlainText"/>
        <w:ind w:left="708" w:hanging="0"/>
        <w:jc w:val="both"/>
        <w:rPr>
          <w:rFonts w:ascii="Calibri" w:hAnsi="Calibri" w:cs="Calibri"/>
          <w:sz w:val="22"/>
          <w:szCs w:val="22"/>
        </w:rPr>
      </w:pPr>
      <w:r>
        <w:rPr>
          <w:rFonts w:cs="Calibri" w:ascii="Calibri" w:hAnsi="Calibri"/>
          <w:sz w:val="22"/>
          <w:szCs w:val="22"/>
        </w:rPr>
        <w:t xml:space="preserve"> </w:t>
      </w:r>
    </w:p>
    <w:p>
      <w:pPr>
        <w:pStyle w:val="PlainText"/>
        <w:ind w:firstLine="708"/>
        <w:jc w:val="both"/>
        <w:rPr>
          <w:rFonts w:ascii="Calibri" w:hAnsi="Calibri" w:cs="Calibri"/>
          <w:sz w:val="22"/>
          <w:szCs w:val="22"/>
        </w:rPr>
      </w:pPr>
      <w:r>
        <w:rPr>
          <w:rFonts w:cs="Calibri" w:ascii="Calibri" w:hAnsi="Calibri"/>
          <w:sz w:val="22"/>
          <w:szCs w:val="22"/>
        </w:rPr>
      </w:r>
    </w:p>
    <w:tbl>
      <w:tblPr>
        <w:tblW w:w="778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010"/>
        <w:gridCol w:w="1776"/>
      </w:tblGrid>
      <w:tr>
        <w:trPr/>
        <w:tc>
          <w:tcPr>
            <w:tcW w:w="6010"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Romanent de tresoreria total</w:t>
            </w:r>
          </w:p>
        </w:tc>
        <w:tc>
          <w:tcPr>
            <w:tcW w:w="17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13.287,75</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afectat a despeses amb finançament afectat (per incorporació de romanents)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0,00</w:t>
            </w:r>
          </w:p>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per a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8.181,99</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Quantitat utilitzada a càrrec del romanent de tresoreria per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disponible</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13.287,75</w:t>
            </w:r>
          </w:p>
        </w:tc>
      </w:tr>
    </w:tbl>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Cal destacar que, si del romanent disponible de 13.287,75 €, restem l’import de les factures pendents d’aplicar a pressupost, que figuren al compte 413, que sumen un total de 4.916,09 € i que s’haurà de reconèixer extrajudicialment modificant el pressupost 2023 amb càrrec a romanent de 2022 o bé incloent-les en el pressupost del 2023, ens queda un romanent disponible final de 8.371,66 €.</w:t>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És pel que l’Interventor que subscriu té l'honor de proposar a aquesta Presidència l'aprovació de la present liquidació.</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No obstant, la Presidència acordarà.</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 xml:space="preserve">A  Petra, a                de </w:t>
        <w:tab/>
        <w:tab/>
        <w:t xml:space="preserve"> de 2023.</w:t>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EL SECRETARI INTERVENTOR,</w:t>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PlainText"/>
        <w:jc w:val="right"/>
        <w:rPr>
          <w:rFonts w:ascii="Calibri" w:hAnsi="Calibri" w:cs="Calibri"/>
          <w:sz w:val="22"/>
          <w:szCs w:val="22"/>
        </w:rPr>
      </w:pPr>
      <w:r>
        <w:rPr>
          <w:rFonts w:cs="Calibri" w:ascii="Calibri" w:hAnsi="Calibri"/>
          <w:sz w:val="22"/>
          <w:szCs w:val="22"/>
        </w:rPr>
      </w:r>
    </w:p>
    <w:p>
      <w:pPr>
        <w:pStyle w:val="Normal"/>
        <w:jc w:val="right"/>
        <w:rPr>
          <w:rFonts w:ascii="Calibri" w:hAnsi="Calibri" w:cs="Calibri"/>
          <w:b/>
          <w:b/>
          <w:sz w:val="22"/>
          <w:szCs w:val="22"/>
        </w:rPr>
      </w:pPr>
      <w:r>
        <w:rPr>
          <w:rFonts w:cs="Calibri" w:ascii="Calibri" w:hAnsi="Calibri"/>
          <w:b/>
          <w:sz w:val="22"/>
          <w:szCs w:val="22"/>
        </w:rPr>
        <w:t>LIQUIDACIÓ EXERCICI 2022</w:t>
      </w:r>
    </w:p>
    <w:p>
      <w:pPr>
        <w:pStyle w:val="Normal"/>
        <w:jc w:val="both"/>
        <w:rPr>
          <w:rFonts w:ascii="Calibri" w:hAnsi="Calibri" w:cs="Calibri"/>
          <w:sz w:val="22"/>
          <w:szCs w:val="22"/>
        </w:rPr>
      </w:pPr>
      <w:r>
        <w:rPr>
          <w:rFonts w:cs="Calibri" w:ascii="Calibri" w:hAnsi="Calibri"/>
          <w:sz w:val="22"/>
          <w:szCs w:val="22"/>
        </w:rPr>
      </w:r>
    </w:p>
    <w:p>
      <w:pPr>
        <w:pStyle w:val="Normal"/>
        <w:spacing w:lineRule="auto" w:line="360" w:before="240" w:after="240"/>
        <w:ind w:firstLine="709"/>
        <w:jc w:val="both"/>
        <w:rPr>
          <w:rFonts w:ascii="Calibri" w:hAnsi="Calibri" w:eastAsia="Verdana" w:cs="Calibri" w:asciiTheme="minorHAnsi" w:cstheme="minorHAnsi" w:hAnsiTheme="minorHAnsi"/>
          <w:sz w:val="22"/>
          <w:szCs w:val="22"/>
        </w:rPr>
      </w:pPr>
      <w:r>
        <w:rPr>
          <w:rFonts w:cs="Calibri" w:ascii="Calibri" w:hAnsi="Calibri"/>
          <w:sz w:val="22"/>
          <w:szCs w:val="22"/>
        </w:rPr>
        <w:t xml:space="preserve">En Francisco González Benito, - Secretari-Interventor </w:t>
      </w:r>
      <w:r>
        <w:rPr>
          <w:rFonts w:eastAsia="Batang" w:cs="Calibri" w:ascii="Calibri" w:hAnsi="Calibri"/>
          <w:sz w:val="22"/>
          <w:szCs w:val="22"/>
          <w:lang w:eastAsia="ko-KR"/>
        </w:rPr>
        <w:t xml:space="preserve">de fons de l’Organisme Autònom, </w:t>
      </w:r>
      <w:r>
        <w:rPr>
          <w:rFonts w:eastAsia="Verdana" w:cs="Calibri" w:ascii="Calibri" w:hAnsi="Calibri" w:asciiTheme="minorHAnsi" w:cstheme="minorHAnsi" w:hAnsiTheme="minorHAnsi"/>
          <w:sz w:val="22"/>
          <w:szCs w:val="22"/>
        </w:rPr>
        <w:t xml:space="preserve">en virtut de les atribucions de control citades i establertes en l'article 213 del Text Refós de la Llei Reguladora de les Hisendes Locals aprovat pel Reial decret Legislatiu 2/2004, de 5 de març i desenvolupades pel Reial decret 424/2017, de 28 d'abril, pel qual es regula el règim jurídic del control intern en les entitats del Sector Públic Local; i en atenció a les facultats recollides en l'article 4.1.b.6è del Reial decret 128/2018, de 16 de març, pel qual es regula el Règim Jurídic dels Funcionaris d'Administració Local amb habilitació de caràcter nacional i </w:t>
      </w:r>
      <w:r>
        <w:rPr>
          <w:rFonts w:eastAsia="Batang" w:cs="Calibri" w:ascii="Calibri" w:hAnsi="Calibri"/>
          <w:sz w:val="22"/>
          <w:szCs w:val="22"/>
          <w:lang w:eastAsia="ko-KR"/>
        </w:rPr>
        <w:t xml:space="preserve"> en compliment del que disposa l'article 16.2, del R.D. 1463/2007 de 2 de novembre i observant els principis establerts a la Llei Orgànica 2/2012, de 27 d’Abril, d’Estabilitat i Sostenibilitat Financera, </w:t>
      </w:r>
      <w:r>
        <w:rPr>
          <w:rFonts w:eastAsia="Verdana" w:cs="Calibri" w:ascii="Calibri" w:hAnsi="Calibri" w:asciiTheme="minorHAnsi" w:cstheme="minorHAnsi" w:hAnsiTheme="minorHAnsi"/>
          <w:sz w:val="22"/>
          <w:szCs w:val="22"/>
        </w:rPr>
        <w:t xml:space="preserve">emet el següent </w:t>
      </w:r>
      <w:r>
        <w:rPr>
          <w:rFonts w:eastAsia="Batang" w:cs="Calibri" w:ascii="Calibri" w:hAnsi="Calibri"/>
          <w:sz w:val="22"/>
          <w:szCs w:val="22"/>
          <w:lang w:eastAsia="ko-KR"/>
        </w:rPr>
        <w:t xml:space="preserve">: </w:t>
      </w:r>
    </w:p>
    <w:p>
      <w:pPr>
        <w:pStyle w:val="Normal"/>
        <w:widowControl w:val="false"/>
        <w:spacing w:lineRule="auto" w:line="360"/>
        <w:jc w:val="both"/>
        <w:rPr>
          <w:rFonts w:ascii="Calibri" w:hAnsi="Calibri" w:cs="Calibri"/>
          <w:sz w:val="22"/>
          <w:szCs w:val="22"/>
        </w:rPr>
      </w:pPr>
      <w:r>
        <w:rPr>
          <w:rFonts w:cs="Calibri" w:ascii="Calibri" w:hAnsi="Calibri"/>
          <w:sz w:val="22"/>
          <w:szCs w:val="22"/>
        </w:rPr>
      </w:r>
    </w:p>
    <w:p>
      <w:pPr>
        <w:pStyle w:val="Normal"/>
        <w:jc w:val="center"/>
        <w:rPr>
          <w:rFonts w:ascii="Calibri" w:hAnsi="Calibri" w:cs="Calibri"/>
          <w:b/>
          <w:b/>
          <w:sz w:val="22"/>
          <w:szCs w:val="22"/>
        </w:rPr>
      </w:pPr>
      <w:r>
        <w:rPr>
          <w:rFonts w:cs="Calibri" w:ascii="Calibri" w:hAnsi="Calibri"/>
          <w:b/>
          <w:sz w:val="22"/>
          <w:szCs w:val="22"/>
        </w:rPr>
        <w:t>INFORME</w:t>
      </w:r>
    </w:p>
    <w:p>
      <w:pPr>
        <w:pStyle w:val="Normal"/>
        <w:jc w:val="center"/>
        <w:rPr>
          <w:rFonts w:ascii="Calibri" w:hAnsi="Calibri" w:cs="Calibri"/>
          <w:b/>
          <w:b/>
          <w:sz w:val="22"/>
          <w:szCs w:val="22"/>
        </w:rPr>
      </w:pPr>
      <w:r>
        <w:rPr>
          <w:rFonts w:cs="Calibri" w:ascii="Calibri" w:hAnsi="Calibri"/>
          <w:b/>
          <w:sz w:val="22"/>
          <w:szCs w:val="22"/>
        </w:rPr>
      </w:r>
    </w:p>
    <w:p>
      <w:pPr>
        <w:pStyle w:val="Normal"/>
        <w:spacing w:lineRule="auto" w:line="360" w:before="240" w:after="240"/>
        <w:ind w:firstLine="709"/>
        <w:jc w:val="both"/>
        <w:rPr>
          <w:rFonts w:ascii="Calibri" w:hAnsi="Calibri" w:eastAsia="Verdana" w:cs="Calibri"/>
          <w:sz w:val="22"/>
          <w:szCs w:val="22"/>
          <w:lang w:eastAsia="en-US"/>
        </w:rPr>
      </w:pPr>
      <w:r>
        <w:rPr>
          <w:rFonts w:eastAsia="Verdana" w:cs="Calibri" w:ascii="Calibri" w:hAnsi="Calibri"/>
          <w:sz w:val="22"/>
          <w:szCs w:val="22"/>
          <w:lang w:eastAsia="en-US"/>
        </w:rPr>
        <w:t xml:space="preserve">Cal tenir present que la Comissió Europea va decidir aplicar la clàusula general de salvaguarda del Pacte d'Estabilitat i Creixement en 2020 (prorrogada per a l'exercici 2021), considerant que es complien les condicions per mantenir-la en vigor també per a l'any 2022, per la qual cosa el Consell de Ministres del passat 27 de juliol va acordar el manteniment de la suspensió de les regles fiscals.  </w:t>
      </w:r>
    </w:p>
    <w:p>
      <w:pPr>
        <w:pStyle w:val="Normal"/>
        <w:spacing w:lineRule="auto" w:line="360" w:before="240" w:after="240"/>
        <w:ind w:firstLine="709"/>
        <w:jc w:val="both"/>
        <w:rPr>
          <w:rFonts w:ascii="Arial" w:hAnsi="Arial" w:eastAsia="Verdana" w:cs="Arial"/>
          <w:color w:val="C00000"/>
          <w:sz w:val="22"/>
          <w:szCs w:val="22"/>
          <w:lang w:eastAsia="en-US"/>
        </w:rPr>
      </w:pPr>
      <w:r>
        <w:rPr>
          <w:rFonts w:eastAsia="Verdana" w:cs="Calibri" w:ascii="Calibri" w:hAnsi="Calibri"/>
          <w:sz w:val="22"/>
          <w:szCs w:val="22"/>
          <w:lang w:eastAsia="en-US"/>
        </w:rPr>
        <w:t xml:space="preserve"> </w:t>
      </w:r>
      <w:r>
        <w:rPr>
          <w:rFonts w:eastAsia="Verdana" w:cs="Calibri" w:ascii="Calibri" w:hAnsi="Calibri"/>
          <w:sz w:val="22"/>
          <w:szCs w:val="22"/>
          <w:lang w:eastAsia="en-US"/>
        </w:rPr>
        <w:t>Decisió que va ser ratificada pel Congrés dels Diputats el 13 de setembre de 2021, considerant que es mantenen les condicions d'excepcionalitat que justifiquen mantenir suspeses les regles fiscals en 2022. D'aquesta manera, amb l'apreciació adoptada per la majoria absoluta del Congrés i amb efectivitat des d'aquest dia en què es va prendre l'acord, es mantenen suspesos durant l'exercici 2022, els objectius d'estabilitat i deute, així com la regla de despesa</w:t>
      </w:r>
      <w:r>
        <w:rPr>
          <w:rFonts w:eastAsia="Verdana" w:cs="Arial" w:ascii="Arial" w:hAnsi="Arial"/>
          <w:color w:val="C00000"/>
          <w:sz w:val="22"/>
          <w:szCs w:val="22"/>
          <w:lang w:eastAsia="en-US"/>
        </w:rPr>
        <w:t>.</w:t>
      </w:r>
    </w:p>
    <w:p>
      <w:pPr>
        <w:pStyle w:val="Normal"/>
        <w:spacing w:lineRule="auto" w:line="360"/>
        <w:ind w:firstLine="708"/>
        <w:jc w:val="both"/>
        <w:rPr>
          <w:rFonts w:ascii="Calibri" w:hAnsi="Calibri" w:eastAsia="Batang" w:cs="Calibri"/>
          <w:bCs/>
          <w:sz w:val="22"/>
          <w:szCs w:val="22"/>
          <w:lang w:eastAsia="ko-KR"/>
        </w:rPr>
      </w:pPr>
      <w:r>
        <w:rPr>
          <w:rFonts w:eastAsia="Batang" w:cs="Calibri" w:ascii="Calibri" w:hAnsi="Calibri"/>
          <w:bCs/>
          <w:sz w:val="22"/>
          <w:szCs w:val="22"/>
          <w:lang w:eastAsia="ko-KR"/>
        </w:rPr>
      </w:r>
    </w:p>
    <w:p>
      <w:pPr>
        <w:pStyle w:val="Normal"/>
        <w:spacing w:lineRule="auto" w:line="360"/>
        <w:ind w:firstLine="708"/>
        <w:jc w:val="both"/>
        <w:rPr>
          <w:rFonts w:ascii="Calibri" w:hAnsi="Calibri" w:eastAsia="Batang" w:cs="Calibri"/>
          <w:bCs/>
          <w:sz w:val="22"/>
          <w:szCs w:val="22"/>
          <w:lang w:eastAsia="ko-KR"/>
        </w:rPr>
      </w:pPr>
      <w:r>
        <w:rPr>
          <w:rFonts w:eastAsia="Batang" w:cs="Calibri" w:ascii="Calibri" w:hAnsi="Calibri"/>
          <w:bCs/>
          <w:sz w:val="22"/>
          <w:szCs w:val="22"/>
          <w:lang w:eastAsia="ko-KR"/>
        </w:rPr>
        <w:t>La suspensió de les regles fiscals no suposa que desaparegui la responsabilitat fiscal:</w:t>
      </w:r>
    </w:p>
    <w:p>
      <w:pPr>
        <w:pStyle w:val="ListParagraph"/>
        <w:numPr>
          <w:ilvl w:val="0"/>
          <w:numId w:val="1"/>
        </w:numPr>
        <w:spacing w:lineRule="auto" w:line="360"/>
        <w:jc w:val="both"/>
        <w:rPr>
          <w:rFonts w:ascii="Calibri" w:hAnsi="Calibri" w:eastAsia="Batang" w:cs="Calibri"/>
          <w:bCs/>
          <w:sz w:val="22"/>
          <w:szCs w:val="22"/>
          <w:lang w:eastAsia="ko-KR"/>
        </w:rPr>
      </w:pPr>
      <w:r>
        <w:rPr>
          <w:rFonts w:eastAsia="Batang" w:cs="Calibri" w:ascii="Calibri" w:hAnsi="Calibri"/>
          <w:bCs/>
          <w:sz w:val="22"/>
          <w:szCs w:val="22"/>
          <w:lang w:eastAsia="ko-KR"/>
        </w:rPr>
        <w:t xml:space="preserve">No es suspèn l’aplicació de la normativa en relació al Reial decret legislatiu 2/2004, de 5 de març, pel qual s'aprova el text refós de la Llei Reguladora de les Hisendes Local i la Llei Orgànica d’estabilitat pressupostaria i sostenibilitat financera. </w:t>
      </w:r>
    </w:p>
    <w:p>
      <w:pPr>
        <w:pStyle w:val="ListParagraph"/>
        <w:numPr>
          <w:ilvl w:val="0"/>
          <w:numId w:val="1"/>
        </w:numPr>
        <w:spacing w:lineRule="auto" w:line="360"/>
        <w:jc w:val="both"/>
        <w:rPr>
          <w:rFonts w:ascii="Calibri" w:hAnsi="Calibri" w:eastAsia="Batang" w:cs="Calibri"/>
          <w:bCs/>
          <w:sz w:val="22"/>
          <w:szCs w:val="22"/>
          <w:lang w:eastAsia="ko-KR"/>
        </w:rPr>
      </w:pPr>
      <w:r>
        <w:rPr>
          <w:rFonts w:eastAsia="Batang" w:cs="Calibri" w:ascii="Calibri" w:hAnsi="Calibri"/>
          <w:bCs/>
          <w:sz w:val="22"/>
          <w:szCs w:val="22"/>
          <w:lang w:eastAsia="ko-KR"/>
        </w:rPr>
        <w:t xml:space="preserve">Com principi de prudència de la gestió pressupostària i financera cal avaluar l’estabilitat pressupostària en termes de comptabilitat nacional, en la liquidació del pressupost. </w:t>
      </w:r>
    </w:p>
    <w:p>
      <w:pPr>
        <w:pStyle w:val="Normal"/>
        <w:jc w:val="both"/>
        <w:rPr>
          <w:rFonts w:ascii="Calibri" w:hAnsi="Calibri" w:eastAsia="Batang" w:cs="Calibri"/>
          <w:b/>
          <w:b/>
          <w:sz w:val="22"/>
          <w:szCs w:val="22"/>
          <w:lang w:eastAsia="ko-KR"/>
        </w:rPr>
      </w:pPr>
      <w:r>
        <w:rPr>
          <w:rFonts w:eastAsia="Batang" w:cs="Calibri" w:ascii="Calibri" w:hAnsi="Calibri"/>
          <w:b/>
          <w:sz w:val="22"/>
          <w:szCs w:val="22"/>
          <w:lang w:eastAsia="ko-KR"/>
        </w:rPr>
      </w:r>
    </w:p>
    <w:p>
      <w:pPr>
        <w:pStyle w:val="Normal"/>
        <w:jc w:val="both"/>
        <w:rPr>
          <w:rFonts w:ascii="Calibri" w:hAnsi="Calibri" w:eastAsia="Batang" w:cs="Calibri"/>
          <w:b/>
          <w:b/>
          <w:sz w:val="22"/>
          <w:szCs w:val="22"/>
          <w:u w:val="single"/>
          <w:lang w:eastAsia="ko-KR"/>
        </w:rPr>
      </w:pPr>
      <w:r>
        <w:rPr>
          <w:rFonts w:eastAsia="Batang" w:cs="Calibri" w:ascii="Calibri" w:hAnsi="Calibri"/>
          <w:b/>
          <w:sz w:val="22"/>
          <w:szCs w:val="22"/>
          <w:u w:val="single"/>
          <w:lang w:eastAsia="ko-KR"/>
        </w:rPr>
        <w:t>Principis bàsics de la Llei</w:t>
      </w:r>
    </w:p>
    <w:p>
      <w:pPr>
        <w:pStyle w:val="Normal"/>
        <w:jc w:val="both"/>
        <w:rPr>
          <w:rFonts w:ascii="Calibri" w:hAnsi="Calibri" w:eastAsia="Batang" w:cs="Calibri"/>
          <w:b/>
          <w:b/>
          <w:sz w:val="22"/>
          <w:szCs w:val="22"/>
          <w:u w:val="single"/>
          <w:lang w:eastAsia="ko-KR"/>
        </w:rPr>
      </w:pPr>
      <w:r>
        <w:rPr>
          <w:rFonts w:eastAsia="Batang" w:cs="Calibri" w:ascii="Calibri" w:hAnsi="Calibri"/>
          <w:b/>
          <w:sz w:val="22"/>
          <w:szCs w:val="22"/>
          <w:u w:val="single"/>
          <w:lang w:eastAsia="ko-KR"/>
        </w:rPr>
      </w:r>
    </w:p>
    <w:p>
      <w:pPr>
        <w:pStyle w:val="Normal"/>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L'elaboració, aprovació i execució dels Pressupostos i altres actuacions que afectin a les despeses o ingressos de les Corporacions Locals es sotmetrà </w:t>
      </w:r>
      <w:r>
        <w:rPr>
          <w:rFonts w:eastAsia="Batang" w:cs="Calibri" w:ascii="Calibri" w:hAnsi="Calibri"/>
          <w:b/>
          <w:sz w:val="22"/>
          <w:szCs w:val="22"/>
          <w:lang w:eastAsia="ko-KR"/>
        </w:rPr>
        <w:t>al principi d'estabilitat pressupostària</w:t>
      </w:r>
      <w:r>
        <w:rPr>
          <w:rFonts w:eastAsia="Batang" w:cs="Calibri" w:ascii="Calibri" w:hAnsi="Calibri"/>
          <w:sz w:val="22"/>
          <w:szCs w:val="22"/>
          <w:lang w:eastAsia="ko-KR"/>
        </w:rPr>
        <w:t xml:space="preserve"> i hauran de mantenir una posició d'equilibri o  superàvit pressupostari.  </w:t>
      </w:r>
    </w:p>
    <w:p>
      <w:pPr>
        <w:pStyle w:val="Normal"/>
        <w:spacing w:lineRule="auto" w:line="360"/>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L’Organisme està subjecte al </w:t>
      </w:r>
      <w:r>
        <w:rPr>
          <w:rFonts w:eastAsia="Batang" w:cs="Calibri" w:ascii="Calibri" w:hAnsi="Calibri"/>
          <w:b/>
          <w:sz w:val="22"/>
          <w:szCs w:val="22"/>
          <w:lang w:eastAsia="ko-KR"/>
        </w:rPr>
        <w:t>principi de sostenibilitat financera</w:t>
      </w:r>
      <w:r>
        <w:rPr>
          <w:rFonts w:eastAsia="Batang" w:cs="Calibri" w:ascii="Calibri" w:hAnsi="Calibri"/>
          <w:sz w:val="22"/>
          <w:szCs w:val="22"/>
          <w:lang w:eastAsia="ko-KR"/>
        </w:rPr>
        <w:t xml:space="preserve">, suficient per finançar compromisos de la despesa de l’exercici corrent i futurs dins del límit de dèficit i deute públic conforme a l’establert en la Llei Orgànica 2/2012, de 27 d’abril. </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D’acord a la Llei orgànica 9/2013, de 20 de desembre, de control del deute comercial del sector públic, article primer “ Modificació de la llei Orgànica 2/2012, de 27 d’abril, de Estabilitat Pressupostaria i Sostenibilitat Financera”, es modifica l’article 4 que queda redactat de la següent manera: </w:t>
      </w:r>
    </w:p>
    <w:p>
      <w:pPr>
        <w:pStyle w:val="Pa11"/>
        <w:spacing w:before="160" w:after="160"/>
        <w:ind w:left="900" w:hanging="340"/>
        <w:jc w:val="both"/>
        <w:rPr>
          <w:color w:val="000000"/>
          <w:sz w:val="20"/>
          <w:szCs w:val="20"/>
        </w:rPr>
      </w:pPr>
      <w:r>
        <w:rPr>
          <w:color w:val="000000"/>
          <w:sz w:val="20"/>
          <w:szCs w:val="20"/>
        </w:rPr>
        <w:t xml:space="preserve">«Artículo 4. </w:t>
      </w:r>
      <w:r>
        <w:rPr>
          <w:i/>
          <w:iCs/>
          <w:color w:val="000000"/>
          <w:sz w:val="20"/>
          <w:szCs w:val="20"/>
        </w:rPr>
        <w:t>Principio de sostenibilidad financiera.</w:t>
      </w:r>
    </w:p>
    <w:p>
      <w:pPr>
        <w:pStyle w:val="Pa12"/>
        <w:ind w:left="560" w:firstLine="340"/>
        <w:jc w:val="both"/>
        <w:rPr>
          <w:color w:val="000000"/>
          <w:sz w:val="20"/>
          <w:szCs w:val="20"/>
        </w:rPr>
      </w:pPr>
      <w:r>
        <w:rPr>
          <w:color w:val="000000"/>
          <w:sz w:val="20"/>
          <w:szCs w:val="20"/>
        </w:rPr>
        <w:t>1. Las actuaciones de las Administraciones Públicas y demás sujetos comprendidos en el ámbito de aplicación de esta Ley estarán sujetas al principio de sostenibilidad financiera.</w:t>
      </w:r>
    </w:p>
    <w:p>
      <w:pPr>
        <w:pStyle w:val="Pa12"/>
        <w:ind w:left="560" w:firstLine="340"/>
        <w:jc w:val="both"/>
        <w:rPr>
          <w:color w:val="000000"/>
          <w:sz w:val="20"/>
          <w:szCs w:val="20"/>
        </w:rPr>
      </w:pPr>
      <w:r>
        <w:rPr>
          <w:color w:val="000000"/>
          <w:sz w:val="20"/>
          <w:szCs w:val="20"/>
        </w:rPr>
        <w:t xml:space="preserve">2. Se entenderá por sostenibilidad financiera la capacidad para financiar compromisos de gasto presentes y futuros dentro de los límites de déficit, deuda pública y morosidad de deuda comercial conforme a lo establecido en esta Ley, la normativa sobre morosidad y en la normativa europea. </w:t>
      </w:r>
    </w:p>
    <w:p>
      <w:pPr>
        <w:pStyle w:val="Default"/>
        <w:rPr/>
      </w:pPr>
      <w:r>
        <w:rPr/>
      </w:r>
    </w:p>
    <w:p>
      <w:pPr>
        <w:pStyle w:val="Pa12"/>
        <w:ind w:left="560" w:firstLine="340"/>
        <w:jc w:val="both"/>
        <w:rPr>
          <w:rFonts w:ascii="Calibri" w:hAnsi="Calibri" w:eastAsia="Batang" w:cs="Calibri"/>
          <w:lang w:val="es-ES_tradnl" w:eastAsia="ko-KR"/>
        </w:rPr>
      </w:pPr>
      <w:r>
        <w:rPr>
          <w:sz w:val="20"/>
          <w:szCs w:val="20"/>
          <w:lang w:val="es-ES_tradnl"/>
        </w:rPr>
        <w:t>Se entiende que existe sostenibilidad de la deuda comercial, cuando el periodo medio de pago a los proveedores no supere el plazo máximo previsto en la normativa sobre morosidad.»</w:t>
      </w:r>
    </w:p>
    <w:p>
      <w:pPr>
        <w:pStyle w:val="Normal"/>
        <w:jc w:val="both"/>
        <w:rPr>
          <w:rFonts w:ascii="Calibri" w:hAnsi="Calibri" w:eastAsia="Batang" w:cs="Calibri"/>
          <w:lang w:eastAsia="ko-KR"/>
        </w:rPr>
      </w:pPr>
      <w:r>
        <w:rPr>
          <w:rFonts w:eastAsia="Batang" w:cs="Calibri" w:ascii="Calibri" w:hAnsi="Calibri"/>
          <w:lang w:eastAsia="ko-KR"/>
        </w:rPr>
      </w:r>
    </w:p>
    <w:p>
      <w:pPr>
        <w:pStyle w:val="Normal"/>
        <w:jc w:val="both"/>
        <w:rPr>
          <w:rFonts w:ascii="Calibri" w:hAnsi="Calibri" w:eastAsia="Batang" w:cs="Calibri"/>
          <w:lang w:eastAsia="ko-KR"/>
        </w:rPr>
      </w:pPr>
      <w:r>
        <w:rPr>
          <w:rFonts w:eastAsia="Batang" w:cs="Calibri" w:ascii="Calibri" w:hAnsi="Calibri"/>
          <w:lang w:eastAsia="ko-KR"/>
        </w:rPr>
      </w:r>
    </w:p>
    <w:p>
      <w:pPr>
        <w:pStyle w:val="Normal"/>
        <w:spacing w:lineRule="auto" w:line="360"/>
        <w:ind w:firstLine="560"/>
        <w:jc w:val="both"/>
        <w:rPr>
          <w:rFonts w:ascii="Calibri" w:hAnsi="Calibri" w:eastAsia="Batang" w:cs="Calibri"/>
          <w:b/>
          <w:b/>
          <w:sz w:val="22"/>
          <w:szCs w:val="22"/>
          <w:lang w:eastAsia="ko-KR"/>
        </w:rPr>
      </w:pPr>
      <w:r>
        <w:rPr>
          <w:rFonts w:eastAsia="Batang" w:cs="Calibri" w:ascii="Calibri" w:hAnsi="Calibri"/>
          <w:sz w:val="22"/>
          <w:szCs w:val="22"/>
          <w:lang w:eastAsia="ko-KR"/>
        </w:rPr>
        <w:t xml:space="preserve">L’elaboració dels pressupostos s’efectuaran en un marc pressupostari a mig termini, compatible amb el principi d’anualitat pel qual s’aproven i executen els pressupostos </w:t>
      </w:r>
      <w:r>
        <w:rPr>
          <w:rFonts w:eastAsia="Batang" w:cs="Calibri" w:ascii="Calibri" w:hAnsi="Calibri"/>
          <w:b/>
          <w:sz w:val="22"/>
          <w:szCs w:val="22"/>
          <w:lang w:eastAsia="ko-KR"/>
        </w:rPr>
        <w:t>d’acord al principi de plurianualitat .</w:t>
      </w:r>
    </w:p>
    <w:p>
      <w:pPr>
        <w:pStyle w:val="Normal"/>
        <w:spacing w:lineRule="auto" w:line="360"/>
        <w:jc w:val="both"/>
        <w:rPr>
          <w:rFonts w:ascii="Calibri" w:hAnsi="Calibri" w:eastAsia="Batang" w:cs="Calibri"/>
          <w:sz w:val="20"/>
          <w:szCs w:val="20"/>
          <w:lang w:eastAsia="ko-KR"/>
        </w:rPr>
      </w:pPr>
      <w:r>
        <w:rPr>
          <w:rFonts w:eastAsia="Batang" w:cs="Calibri" w:ascii="Calibri" w:hAnsi="Calibri"/>
          <w:sz w:val="20"/>
          <w:szCs w:val="20"/>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b/>
          <w:sz w:val="22"/>
          <w:szCs w:val="22"/>
          <w:lang w:eastAsia="ko-KR"/>
        </w:rPr>
        <w:t>El principi de transparència</w:t>
      </w:r>
      <w:r>
        <w:rPr>
          <w:rFonts w:eastAsia="Batang" w:cs="Calibri" w:ascii="Calibri" w:hAnsi="Calibri"/>
          <w:sz w:val="22"/>
          <w:szCs w:val="22"/>
          <w:lang w:eastAsia="ko-KR"/>
        </w:rPr>
        <w:t>, representarà que la comptabilitat, així com el Pressupost i Liquidació hauran de tenir la informació suficient i adequada per la seva verificació financera i compliment dels objectius principals d’aquesta Llei.</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Així mateix, cal tenir present els </w:t>
      </w:r>
      <w:r>
        <w:rPr>
          <w:rFonts w:eastAsia="Batang" w:cs="Calibri" w:ascii="Calibri" w:hAnsi="Calibri"/>
          <w:b/>
          <w:sz w:val="22"/>
          <w:szCs w:val="22"/>
          <w:lang w:eastAsia="ko-KR"/>
        </w:rPr>
        <w:t>principis d’eficiència en l’assignació i utilització dels recursos públics, de responsabilitat i el de lleialtat institucional</w:t>
      </w:r>
      <w:r>
        <w:rPr>
          <w:rFonts w:eastAsia="Batang" w:cs="Calibri" w:ascii="Calibri" w:hAnsi="Calibri"/>
          <w:sz w:val="22"/>
          <w:szCs w:val="22"/>
          <w:lang w:eastAsia="ko-KR"/>
        </w:rPr>
        <w:t>.</w:t>
      </w:r>
    </w:p>
    <w:p>
      <w:pPr>
        <w:pStyle w:val="Normal"/>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0"/>
          <w:lang w:eastAsia="ko-KR"/>
        </w:rPr>
      </w:pPr>
      <w:r>
        <w:rPr>
          <w:rFonts w:eastAsia="Batang" w:cs="Calibri" w:ascii="Calibri" w:hAnsi="Calibri"/>
          <w:b/>
          <w:sz w:val="22"/>
          <w:szCs w:val="22"/>
          <w:lang w:eastAsia="ko-KR"/>
        </w:rPr>
        <w:t>La regla de despesa</w:t>
      </w:r>
      <w:r>
        <w:rPr>
          <w:rFonts w:eastAsia="Batang" w:cs="Calibri" w:ascii="Calibri" w:hAnsi="Calibri"/>
          <w:sz w:val="22"/>
          <w:szCs w:val="22"/>
          <w:lang w:eastAsia="ko-KR"/>
        </w:rPr>
        <w:t>,  com conseqüència de l’actual situació de crisi i corresponent decisió de la Comissió Europea d’aplicar la clàusula general de salvaguarda del Pacte d'Estabilitat i Creixement en 2020, que també es prorrogarà en 2022 i donat que el Consell de Ministres ha suspès la senda i els objectius d'estabilitat aprovats pel Govern al febrer 2020 i que han quedat absolutament desfasats per l'impacte de la crisi, no existeix una taxa de referència per aquest exercici 2022. De tota manera, seguint les pautes recomanades de prudència fiscal i en relació a la despesa computable s’informa dels indicadors obtinguts respecte a l’exercici anterior.</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S'entendrà per despesa computable, les ocupacions no financeres definides en termes del SEC, exclosos els interessos del deute, la despesa no discrecional en prestacions per desocupació, la part de la despesa finançada amb fons finalistes procedents de la Unió Europea o d'altres Administracions Públiques.</w:t>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r>
    </w:p>
    <w:p>
      <w:pPr>
        <w:pStyle w:val="Normal"/>
        <w:spacing w:lineRule="auto" w:line="360"/>
        <w:ind w:firstLine="708"/>
        <w:jc w:val="both"/>
        <w:rPr>
          <w:rFonts w:ascii="Calibri" w:hAnsi="Calibri" w:eastAsia="Batang" w:cs="Calibri"/>
          <w:sz w:val="22"/>
          <w:szCs w:val="22"/>
          <w:lang w:eastAsia="ko-KR"/>
        </w:rPr>
      </w:pPr>
      <w:r>
        <w:rPr>
          <w:rFonts w:eastAsia="Batang" w:cs="Calibri" w:ascii="Calibri" w:hAnsi="Calibri"/>
          <w:sz w:val="22"/>
          <w:szCs w:val="22"/>
          <w:lang w:eastAsia="ko-KR"/>
        </w:rPr>
        <w:t xml:space="preserve">Correspon al Ministeri d'Economia i Competitivitat calcular la taxa de referència de creixement del Producte Interior Brut de mig termini de l'economia espanyola, d'acord amb la metodologia utilitzada per la Comissió Europea en aplicació de la seva normativa. Aquesta taxa es publicarà en l'informe de situació de l'economia espanyola al que es refereix l'article 15.5 d'aquesta Llei. Serà la referència a tenir en compte per l'Administració Central i cadascuna de les Comunitats Autònomes i Corporacions Locals  en l'elaboració dels seus respectius Pressupostos. </w:t>
      </w:r>
    </w:p>
    <w:p>
      <w:pPr>
        <w:pStyle w:val="Normal"/>
        <w:spacing w:lineRule="auto" w:line="360"/>
        <w:ind w:firstLine="708"/>
        <w:jc w:val="both"/>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r>
    </w:p>
    <w:p>
      <w:pPr>
        <w:pStyle w:val="Normal"/>
        <w:jc w:val="center"/>
        <w:rPr>
          <w:rFonts w:ascii="Calibri" w:hAnsi="Calibri" w:cs="Calibri"/>
          <w:b/>
          <w:b/>
          <w:sz w:val="22"/>
          <w:szCs w:val="22"/>
        </w:rPr>
      </w:pPr>
      <w:r>
        <w:rPr>
          <w:rFonts w:cs="Calibri" w:ascii="Calibri" w:hAnsi="Calibri"/>
          <w:b/>
          <w:sz w:val="22"/>
          <w:szCs w:val="22"/>
        </w:rPr>
        <w:t>LIQUIDACIÓ PRESSUPOST 2022 DE L’ORGANISME AUTÒNOM ESCOLA MUNICIPAL DE MÚSICA DE PETRA</w:t>
      </w:r>
    </w:p>
    <w:p>
      <w:pPr>
        <w:pStyle w:val="Normal"/>
        <w:jc w:val="center"/>
        <w:rPr>
          <w:rFonts w:ascii="Calibri" w:hAnsi="Calibri" w:cs="Calibri"/>
          <w:b/>
          <w:b/>
          <w:sz w:val="22"/>
          <w:szCs w:val="22"/>
        </w:rPr>
      </w:pPr>
      <w:r>
        <w:rPr>
          <w:rFonts w:cs="Calibri" w:ascii="Calibri" w:hAnsi="Calibri"/>
          <w:b/>
          <w:sz w:val="22"/>
          <w:szCs w:val="22"/>
        </w:rPr>
      </w:r>
    </w:p>
    <w:p>
      <w:pPr>
        <w:pStyle w:val="Normal"/>
        <w:spacing w:lineRule="auto" w:line="360" w:before="240" w:after="240"/>
        <w:ind w:firstLine="709"/>
        <w:jc w:val="both"/>
        <w:rPr>
          <w:rFonts w:ascii="Calibri" w:hAnsi="Calibri" w:eastAsia="Verdana" w:cs="Calibri"/>
        </w:rPr>
      </w:pPr>
      <w:r>
        <w:rPr>
          <w:rFonts w:eastAsia="Verdana" w:cs="Calibri" w:ascii="Calibri" w:hAnsi="Calibri"/>
          <w:sz w:val="22"/>
          <w:szCs w:val="22"/>
        </w:rPr>
        <w:t>La  suspensió de les regles fiscals,  no hauria de suposar la desaparició de la responsabilitat fiscal pel que fa a l'avaluació d'aquestes magnituds fiscals, per la qual cosa per prudència s’avalua l’estabilitat pressupostaria  amb motiu de l'aprovació de l'expedient de la liquidació del pressupost Municipal.</w:t>
      </w:r>
    </w:p>
    <w:p>
      <w:pPr>
        <w:pStyle w:val="Normal"/>
        <w:spacing w:lineRule="auto" w:line="360"/>
        <w:ind w:firstLine="708"/>
        <w:jc w:val="both"/>
        <w:rPr>
          <w:rFonts w:ascii="Calibri" w:hAnsi="Calibri" w:cs="Calibri"/>
          <w:sz w:val="22"/>
          <w:szCs w:val="22"/>
        </w:rPr>
      </w:pPr>
      <w:r>
        <w:rPr>
          <w:rFonts w:cs="Calibri" w:ascii="Calibri" w:hAnsi="Calibri"/>
          <w:sz w:val="22"/>
          <w:szCs w:val="22"/>
        </w:rPr>
        <w:t>Una vegada revisats els estats que formen la liquidació del  pressupost de l’exercici 2022, s’observa el següent:</w:t>
      </w:r>
    </w:p>
    <w:p>
      <w:pPr>
        <w:pStyle w:val="Normal"/>
        <w:spacing w:lineRule="auto" w:line="360"/>
        <w:ind w:firstLine="708"/>
        <w:jc w:val="both"/>
        <w:rPr>
          <w:rFonts w:ascii="Calibri" w:hAnsi="Calibri" w:cs="Calibri"/>
          <w:sz w:val="22"/>
          <w:szCs w:val="22"/>
          <w:highlight w:val="yellow"/>
        </w:rPr>
      </w:pPr>
      <w:r>
        <w:rPr>
          <w:rFonts w:cs="Calibri" w:ascii="Calibri" w:hAnsi="Calibri"/>
          <w:sz w:val="22"/>
          <w:szCs w:val="22"/>
          <w:highlight w:val="yellow"/>
        </w:rPr>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a) </w:t>
      </w:r>
      <w:r>
        <w:rPr>
          <w:rFonts w:cs="Calibri" w:ascii="Calibri" w:hAnsi="Calibri"/>
          <w:b/>
          <w:sz w:val="22"/>
          <w:szCs w:val="22"/>
        </w:rPr>
        <w:t xml:space="preserve">Respecte a la Regla de la Despesa, </w:t>
      </w:r>
      <w:r>
        <w:rPr>
          <w:rFonts w:cs="Calibri" w:ascii="Calibri" w:hAnsi="Calibri"/>
          <w:sz w:val="22"/>
          <w:szCs w:val="22"/>
        </w:rPr>
        <w:t>per determinar la despesa computable en la Regla de la despesa, s’han tingut en compte totes les despeses no financeres (capítols I a VII), descomptant-hi els interessos del deute a curt i llarg termini.</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sz w:val="22"/>
          <w:szCs w:val="22"/>
        </w:rPr>
      </w:pPr>
      <w:r>
        <w:rPr>
          <w:rFonts w:cs="Calibri" w:ascii="Calibri" w:hAnsi="Calibri"/>
          <w:sz w:val="22"/>
          <w:szCs w:val="22"/>
        </w:rPr>
        <w:t>El següent quadre estableix que el percentatge d’increment respecte a la liquidació de l’exercici 2020, es situaria en un</w:t>
      </w:r>
      <w:r>
        <w:rPr>
          <w:rFonts w:cs="Calibri" w:ascii="Calibri" w:hAnsi="Calibri"/>
          <w:b/>
          <w:sz w:val="22"/>
          <w:szCs w:val="22"/>
        </w:rPr>
        <w:t xml:space="preserve"> 28,20 %.</w:t>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widowControl w:val="false"/>
        <w:spacing w:lineRule="auto" w:line="360"/>
        <w:ind w:firstLine="709"/>
        <w:jc w:val="both"/>
        <w:rPr>
          <w:rFonts w:ascii="Calibri" w:hAnsi="Calibri" w:cs="Calibri"/>
          <w:sz w:val="22"/>
          <w:szCs w:val="22"/>
        </w:rPr>
      </w:pPr>
      <w:r>
        <w:rPr>
          <w:rFonts w:cs="Calibri" w:ascii="Calibri" w:hAnsi="Calibri"/>
          <w:sz w:val="22"/>
          <w:szCs w:val="22"/>
        </w:rPr>
        <w:t>D’aquesta manera, el quadre comparatiu que conté el detall de la regla de la despesa entre la liquidació 2022 i la liquidació 2021, és el següent:</w:t>
      </w:r>
    </w:p>
    <w:p>
      <w:pPr>
        <w:pStyle w:val="Normal"/>
        <w:spacing w:lineRule="auto" w:line="360"/>
        <w:jc w:val="center"/>
        <w:rPr/>
      </w:pPr>
      <w:r>
        <w:rPr/>
      </w:r>
    </w:p>
    <w:p>
      <w:pPr>
        <w:pStyle w:val="Normal"/>
        <w:spacing w:lineRule="auto" w:line="360"/>
        <w:jc w:val="center"/>
        <w:rPr/>
      </w:pPr>
      <w:r>
        <w:rPr/>
      </w:r>
    </w:p>
    <w:p>
      <w:pPr>
        <w:pStyle w:val="Normal"/>
        <w:spacing w:lineRule="auto" w:line="360"/>
        <w:jc w:val="center"/>
        <w:rPr>
          <w:rFonts w:ascii="Calibri" w:hAnsi="Calibri" w:cs="Calibri"/>
          <w:sz w:val="22"/>
          <w:szCs w:val="22"/>
        </w:rPr>
      </w:pPr>
      <w:r>
        <w:rPr/>
        <w:drawing>
          <wp:inline distT="0" distB="0" distL="0" distR="0">
            <wp:extent cx="6097905" cy="557339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6097905" cy="5573395"/>
                    </a:xfrm>
                    <a:prstGeom prst="rect">
                      <a:avLst/>
                    </a:prstGeom>
                  </pic:spPr>
                </pic:pic>
              </a:graphicData>
            </a:graphic>
          </wp:inline>
        </w:drawing>
      </w:r>
    </w:p>
    <w:p>
      <w:pPr>
        <w:pStyle w:val="Normal"/>
        <w:spacing w:lineRule="auto" w:line="360"/>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b) L’article 15 de la Llei Orgànica 2/2012, especifica el següent: </w:t>
      </w:r>
    </w:p>
    <w:p>
      <w:pPr>
        <w:pStyle w:val="Pa11"/>
        <w:spacing w:before="160" w:after="160"/>
        <w:ind w:left="900" w:hanging="340"/>
        <w:jc w:val="both"/>
        <w:rPr>
          <w:color w:val="000000"/>
          <w:sz w:val="20"/>
          <w:szCs w:val="20"/>
        </w:rPr>
      </w:pPr>
      <w:r>
        <w:rPr>
          <w:color w:val="000000"/>
          <w:sz w:val="20"/>
          <w:szCs w:val="20"/>
        </w:rPr>
        <w:t xml:space="preserve">«Artículo 15. </w:t>
      </w:r>
      <w:r>
        <w:rPr>
          <w:i/>
          <w:iCs/>
          <w:color w:val="000000"/>
          <w:sz w:val="20"/>
          <w:szCs w:val="20"/>
        </w:rPr>
        <w:t>Establecimiento de los objetivos de estabilidad presupuestaria y de deuda pública para el conjunto de Administraciones Públicas.</w:t>
      </w:r>
    </w:p>
    <w:p>
      <w:pPr>
        <w:pStyle w:val="Pa12"/>
        <w:numPr>
          <w:ilvl w:val="0"/>
          <w:numId w:val="2"/>
        </w:numPr>
        <w:jc w:val="both"/>
        <w:rPr>
          <w:sz w:val="20"/>
          <w:szCs w:val="20"/>
          <w:lang w:val="es-ES_tradnl"/>
        </w:rPr>
      </w:pPr>
      <w:r>
        <w:rPr>
          <w:color w:val="000000"/>
          <w:sz w:val="20"/>
          <w:szCs w:val="20"/>
        </w:rPr>
        <w:t>En el primer semestre de cada año, el Gobierno, mediante acuerdo del Consejo de Ministros, a propuesta del Ministro de Hacienda y Administraciones Públicas y previo informe del Consejo de Política Fiscal y Financiera de las Comunidades Autónomas y de la Comisión Nacional de Administración Local en cuanto al ámbito de las mismas, fijará los objetivos de estabilidad presupuestaria, en término de capacidad o necesidad de financiación …</w:t>
      </w:r>
      <w:r>
        <w:rPr>
          <w:sz w:val="20"/>
          <w:szCs w:val="20"/>
          <w:lang w:val="es-ES_tradnl"/>
        </w:rPr>
        <w:t>»</w:t>
      </w:r>
    </w:p>
    <w:p>
      <w:pPr>
        <w:pStyle w:val="Default"/>
        <w:ind w:left="1260" w:hanging="0"/>
        <w:rPr>
          <w:rFonts w:eastAsia="Batang"/>
          <w:lang w:val="es-ES_tradnl"/>
        </w:rPr>
      </w:pPr>
      <w:r>
        <w:rPr>
          <w:rFonts w:eastAsia="Batang"/>
          <w:lang w:val="es-ES_tradnl"/>
        </w:rPr>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L’Acord de Govern pel que es fixen els objectius d’estabilitat pressupostària i de Deute Públic per al conjunt d’Administracions Públiques i de cadascun dels seus subsectors per al període 2020-2023, va fixar un objectiu d’estabilitat pressupostària per a les Entitats Locals per aquest període de zero. Com s’ha comentat a l’apartat de la regla de la despesa, tot i no estar vigents les regles fiscals en relació a l’exercici 2022, es considera necessari informar sobre la capacitat o necessitat de finançament generada a l’exercici. </w:t>
      </w:r>
    </w:p>
    <w:p>
      <w:pPr>
        <w:pStyle w:val="Normal"/>
        <w:spacing w:lineRule="auto" w:line="360"/>
        <w:ind w:firstLine="708"/>
        <w:jc w:val="both"/>
        <w:rPr>
          <w:rFonts w:ascii="Calibri" w:hAnsi="Calibri" w:cs="Calibri"/>
          <w:sz w:val="22"/>
          <w:szCs w:val="22"/>
        </w:rPr>
      </w:pPr>
      <w:r>
        <w:rPr>
          <w:rFonts w:cs="Calibri" w:ascii="Calibri" w:hAnsi="Calibri"/>
          <w:sz w:val="22"/>
          <w:szCs w:val="22"/>
        </w:rPr>
      </w:r>
    </w:p>
    <w:p>
      <w:pPr>
        <w:pStyle w:val="Normal"/>
        <w:spacing w:lineRule="auto" w:line="360"/>
        <w:ind w:firstLine="708"/>
        <w:jc w:val="both"/>
        <w:rPr>
          <w:rFonts w:ascii="Calibri" w:hAnsi="Calibri" w:cs="Calibri"/>
          <w:b/>
          <w:b/>
          <w:sz w:val="22"/>
          <w:szCs w:val="22"/>
        </w:rPr>
      </w:pPr>
      <w:r>
        <w:rPr>
          <w:rFonts w:cs="Calibri" w:ascii="Calibri" w:hAnsi="Calibri"/>
          <w:sz w:val="22"/>
          <w:szCs w:val="22"/>
        </w:rPr>
        <w:t xml:space="preserve">b) D’acord als càlculs realitzats per l’Organisme Autònom, la liquidació </w:t>
      </w:r>
      <w:r>
        <w:rPr>
          <w:rFonts w:cs="Calibri" w:ascii="Calibri" w:hAnsi="Calibri"/>
          <w:b/>
          <w:bCs/>
          <w:sz w:val="22"/>
          <w:szCs w:val="22"/>
        </w:rPr>
        <w:t>SI</w:t>
      </w:r>
      <w:r>
        <w:rPr>
          <w:rFonts w:cs="Calibri" w:ascii="Calibri" w:hAnsi="Calibri"/>
          <w:sz w:val="22"/>
          <w:szCs w:val="22"/>
        </w:rPr>
        <w:t xml:space="preserve"> compleix el principi </w:t>
      </w:r>
      <w:r>
        <w:rPr>
          <w:rFonts w:cs="Calibri" w:ascii="Calibri" w:hAnsi="Calibri"/>
          <w:b/>
          <w:sz w:val="22"/>
          <w:szCs w:val="22"/>
        </w:rPr>
        <w:t>d’estabilitat pressupostària</w:t>
      </w:r>
      <w:r>
        <w:rPr>
          <w:rFonts w:cs="Calibri" w:ascii="Calibri" w:hAnsi="Calibri"/>
          <w:sz w:val="22"/>
          <w:szCs w:val="22"/>
        </w:rPr>
        <w:t>, quantificant-se una capacitat de finançament per import de</w:t>
      </w:r>
      <w:r>
        <w:rPr>
          <w:rFonts w:cs="Calibri" w:ascii="Calibri" w:hAnsi="Calibri"/>
          <w:b/>
          <w:sz w:val="22"/>
          <w:szCs w:val="22"/>
        </w:rPr>
        <w:t xml:space="preserve"> 479,76 €.</w:t>
      </w:r>
    </w:p>
    <w:p>
      <w:pPr>
        <w:pStyle w:val="Normal"/>
        <w:spacing w:lineRule="auto" w:line="360"/>
        <w:ind w:firstLine="708"/>
        <w:jc w:val="both"/>
        <w:rPr>
          <w:rFonts w:ascii="Calibri" w:hAnsi="Calibri" w:cs="Calibri"/>
          <w:b/>
          <w:b/>
          <w:sz w:val="22"/>
          <w:szCs w:val="22"/>
        </w:rPr>
      </w:pPr>
      <w:r>
        <w:rPr>
          <w:rFonts w:cs="Calibri" w:ascii="Calibri" w:hAnsi="Calibri"/>
          <w:b/>
          <w:sz w:val="22"/>
          <w:szCs w:val="22"/>
        </w:rPr>
      </w:r>
    </w:p>
    <w:p>
      <w:pPr>
        <w:pStyle w:val="Normal"/>
        <w:spacing w:lineRule="auto" w:line="360"/>
        <w:jc w:val="center"/>
        <w:rPr>
          <w:rFonts w:ascii="Calibri" w:hAnsi="Calibri" w:cs="Calibri"/>
          <w:b/>
          <w:b/>
          <w:sz w:val="22"/>
          <w:szCs w:val="22"/>
        </w:rPr>
      </w:pPr>
      <w:r>
        <w:rPr/>
        <w:drawing>
          <wp:inline distT="0" distB="0" distL="0" distR="0">
            <wp:extent cx="5626100" cy="8011795"/>
            <wp:effectExtent l="0" t="0" r="0" b="0"/>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3"/>
                    <a:stretch>
                      <a:fillRect/>
                    </a:stretch>
                  </pic:blipFill>
                  <pic:spPr bwMode="auto">
                    <a:xfrm>
                      <a:off x="0" y="0"/>
                      <a:ext cx="5626100" cy="8011795"/>
                    </a:xfrm>
                    <a:prstGeom prst="rect">
                      <a:avLst/>
                    </a:prstGeom>
                  </pic:spPr>
                </pic:pic>
              </a:graphicData>
            </a:graphic>
          </wp:inline>
        </w:drawing>
      </w:r>
    </w:p>
    <w:p>
      <w:pPr>
        <w:pStyle w:val="Normal"/>
        <w:widowControl w:val="false"/>
        <w:spacing w:lineRule="auto" w:line="360"/>
        <w:ind w:firstLine="709"/>
        <w:jc w:val="both"/>
        <w:rPr>
          <w:rFonts w:ascii="Calibri" w:hAnsi="Calibri" w:cs="Calibri"/>
          <w:sz w:val="22"/>
          <w:szCs w:val="22"/>
        </w:rPr>
      </w:pPr>
      <w:r>
        <w:rPr>
          <w:rFonts w:cs="Calibri" w:ascii="Calibri" w:hAnsi="Calibri"/>
          <w:sz w:val="22"/>
          <w:szCs w:val="22"/>
        </w:rPr>
        <w:t>Com es desprèn del quadre anterior, les previsions d’ingressos no financers (capítols ú a set) són superiors a les despeses no financeres executades, en termes de comptabilitat nacional, generant un superàvit de finançament 479,76 €.</w:t>
      </w:r>
    </w:p>
    <w:p>
      <w:pPr>
        <w:pStyle w:val="Normal"/>
        <w:widowControl w:val="false"/>
        <w:spacing w:lineRule="auto" w:line="360"/>
        <w:ind w:firstLine="709"/>
        <w:jc w:val="both"/>
        <w:rPr>
          <w:rFonts w:ascii="Calibri" w:hAnsi="Calibri" w:cs="Calibri"/>
          <w:sz w:val="22"/>
          <w:szCs w:val="22"/>
        </w:rPr>
      </w:pPr>
      <w:r>
        <w:rPr>
          <w:rFonts w:cs="Calibri" w:ascii="Calibri" w:hAnsi="Calibri"/>
          <w:sz w:val="22"/>
          <w:szCs w:val="22"/>
        </w:rPr>
      </w:r>
    </w:p>
    <w:p>
      <w:pPr>
        <w:pStyle w:val="Normal"/>
        <w:widowControl w:val="false"/>
        <w:spacing w:lineRule="auto" w:line="360"/>
        <w:ind w:firstLine="709"/>
        <w:jc w:val="both"/>
        <w:rPr>
          <w:rFonts w:ascii="Calibri" w:hAnsi="Calibri" w:cs="Calibri"/>
          <w:sz w:val="22"/>
          <w:szCs w:val="22"/>
          <w:lang w:eastAsia="en-US"/>
        </w:rPr>
      </w:pPr>
      <w:r>
        <w:rPr>
          <w:rFonts w:cs="Calibri" w:ascii="Calibri" w:hAnsi="Calibri"/>
          <w:sz w:val="22"/>
          <w:szCs w:val="22"/>
          <w:lang w:eastAsia="en-US"/>
        </w:rPr>
        <w:t xml:space="preserve">Ateses les consideracions anteriors, estima l’informant que la liquidació objecte d’estudi </w:t>
      </w:r>
      <w:r>
        <w:rPr>
          <w:rFonts w:cs="Calibri" w:ascii="Calibri" w:hAnsi="Calibri"/>
          <w:b/>
          <w:bCs/>
          <w:sz w:val="22"/>
          <w:szCs w:val="22"/>
          <w:lang w:eastAsia="en-US"/>
        </w:rPr>
        <w:t>SI</w:t>
      </w:r>
      <w:r>
        <w:rPr>
          <w:rFonts w:cs="Calibri" w:ascii="Calibri" w:hAnsi="Calibri"/>
          <w:b/>
          <w:sz w:val="22"/>
          <w:szCs w:val="22"/>
          <w:lang w:eastAsia="en-US"/>
        </w:rPr>
        <w:t xml:space="preserve"> </w:t>
      </w:r>
      <w:r>
        <w:rPr>
          <w:rFonts w:cs="Calibri" w:ascii="Calibri" w:hAnsi="Calibri"/>
          <w:sz w:val="22"/>
          <w:szCs w:val="22"/>
          <w:lang w:eastAsia="en-US"/>
        </w:rPr>
        <w:t xml:space="preserve">assoleix en principi l’objectiu d’estabilitat pressupostaria d’acord a l’article 11.4 de la Llei Orgànica 2/2012, de 27/4 d’Estabilitat Pressupostaria i Sostenibilitat financera. </w:t>
      </w:r>
    </w:p>
    <w:p>
      <w:pPr>
        <w:pStyle w:val="Normal"/>
        <w:spacing w:lineRule="auto" w:line="360"/>
        <w:jc w:val="both"/>
        <w:rPr>
          <w:rFonts w:ascii="Calibri" w:hAnsi="Calibri" w:cs="Calibri"/>
          <w:sz w:val="22"/>
          <w:szCs w:val="22"/>
          <w:lang w:eastAsia="en-US"/>
        </w:rPr>
      </w:pPr>
      <w:r>
        <w:rPr>
          <w:rFonts w:cs="Courier New" w:ascii="Courier New" w:hAnsi="Courier New"/>
          <w:sz w:val="20"/>
          <w:szCs w:val="20"/>
        </w:rPr>
        <w:tab/>
      </w:r>
    </w:p>
    <w:p>
      <w:pPr>
        <w:pStyle w:val="Normal"/>
        <w:spacing w:lineRule="auto" w:line="360"/>
        <w:ind w:firstLine="708"/>
        <w:jc w:val="both"/>
        <w:rPr>
          <w:rFonts w:ascii="Calibri" w:hAnsi="Calibri" w:cs="Calibri"/>
          <w:sz w:val="22"/>
          <w:szCs w:val="22"/>
        </w:rPr>
      </w:pPr>
      <w:r>
        <w:rPr>
          <w:rFonts w:cs="Calibri" w:ascii="Calibri" w:hAnsi="Calibri"/>
          <w:sz w:val="22"/>
          <w:szCs w:val="22"/>
        </w:rPr>
        <w:t xml:space="preserve">c) Respecte a </w:t>
      </w:r>
      <w:r>
        <w:rPr>
          <w:rFonts w:cs="Calibri" w:ascii="Calibri" w:hAnsi="Calibri"/>
          <w:b/>
          <w:sz w:val="22"/>
          <w:szCs w:val="22"/>
        </w:rPr>
        <w:t>la sostenibilitat financera</w:t>
      </w:r>
      <w:r>
        <w:rPr>
          <w:rFonts w:cs="Calibri" w:ascii="Calibri" w:hAnsi="Calibri"/>
          <w:sz w:val="22"/>
          <w:szCs w:val="22"/>
        </w:rPr>
        <w:t xml:space="preserve"> en la liquidació de l’exercici 2022, la normativa d’estabilitat pressupostaria respecte a l’endeutament de les Corporacions locals i a l’objectiu de deute públic, manté els límits d’endeutament recollits en el Text Refós de la Llei Reguladora de les Hisendes Locals, aprovat per el Reial Decret Legislatiu 2/2004, de 5 de Març, tenint en compte lo establert en l’article 14.3 del RDL 8/2010, de 20 de Maig per el que s’adopten mesures extraordinàries per la reducció del dèficit públic, i la disposició final trigèsim primera de la Llei 17/2012, de 27 de desembre, de Pressupostos Generals de l’Estat per a 2013 en el que fa referencia a les operacions de crèdit a llarg termini.</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jc w:val="both"/>
        <w:rPr>
          <w:rFonts w:ascii="Calibri" w:hAnsi="Calibri" w:cs="Calibri"/>
          <w:sz w:val="22"/>
          <w:szCs w:val="22"/>
        </w:rPr>
      </w:pPr>
      <w:r>
        <w:rPr>
          <w:rFonts w:cs="Calibri" w:ascii="Calibri" w:hAnsi="Calibri"/>
          <w:sz w:val="22"/>
          <w:szCs w:val="22"/>
        </w:rPr>
        <w:tab/>
        <w:t>Les dades de l’endeutament segons la liquidació de l’exercici són:</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jc w:val="both"/>
        <w:rPr>
          <w:rFonts w:ascii="Calibri" w:hAnsi="Calibri" w:cs="Calibri"/>
          <w:b/>
          <w:b/>
          <w:sz w:val="22"/>
          <w:szCs w:val="22"/>
        </w:rPr>
      </w:pPr>
      <w:r>
        <w:rPr>
          <w:rFonts w:cs="Calibri" w:ascii="Calibri" w:hAnsi="Calibri"/>
          <w:b/>
          <w:sz w:val="22"/>
          <w:szCs w:val="22"/>
        </w:rPr>
        <w:t>DEUTE VIU 31/12/2022</w:t>
      </w:r>
    </w:p>
    <w:p>
      <w:pPr>
        <w:pStyle w:val="Normal"/>
        <w:spacing w:lineRule="auto" w:line="360"/>
        <w:ind w:firstLine="708"/>
        <w:jc w:val="both"/>
        <w:rPr>
          <w:rFonts w:ascii="Calibri" w:hAnsi="Calibri" w:cs="Calibri"/>
          <w:sz w:val="22"/>
          <w:szCs w:val="22"/>
        </w:rPr>
      </w:pPr>
      <w:r>
        <w:rPr>
          <w:rFonts w:cs="Calibri" w:ascii="Calibri" w:hAnsi="Calibri"/>
          <w:sz w:val="22"/>
          <w:szCs w:val="22"/>
        </w:rPr>
        <w:t>L’Organisme autònom no disposa d’endeutament a llarg i/o curt termini.</w:t>
      </w:r>
    </w:p>
    <w:p>
      <w:pPr>
        <w:pStyle w:val="Normal"/>
        <w:spacing w:lineRule="auto" w:line="360"/>
        <w:jc w:val="both"/>
        <w:rPr>
          <w:rFonts w:ascii="Calibri" w:hAnsi="Calibri" w:cs="Calibri"/>
          <w:sz w:val="22"/>
          <w:szCs w:val="22"/>
        </w:rPr>
      </w:pPr>
      <w:r>
        <w:rPr>
          <w:rFonts w:cs="Calibri" w:ascii="Calibri" w:hAnsi="Calibri"/>
          <w:sz w:val="22"/>
          <w:szCs w:val="22"/>
        </w:rPr>
      </w:r>
    </w:p>
    <w:p>
      <w:pPr>
        <w:pStyle w:val="Normal"/>
        <w:spacing w:lineRule="auto" w:line="360"/>
        <w:jc w:val="both"/>
        <w:rPr>
          <w:rFonts w:ascii="Calibri" w:hAnsi="Calibri" w:cs="Calibri"/>
          <w:b/>
          <w:b/>
          <w:sz w:val="22"/>
          <w:szCs w:val="22"/>
        </w:rPr>
      </w:pPr>
      <w:r>
        <w:rPr>
          <w:rFonts w:cs="Calibri" w:ascii="Calibri" w:hAnsi="Calibri"/>
          <w:b/>
          <w:sz w:val="22"/>
          <w:szCs w:val="22"/>
        </w:rPr>
        <w:t>ESTALVI NET</w:t>
      </w:r>
    </w:p>
    <w:p>
      <w:pPr>
        <w:pStyle w:val="Normal"/>
        <w:spacing w:lineRule="auto" w:line="360"/>
        <w:jc w:val="center"/>
        <w:rPr>
          <w:rFonts w:ascii="Calibri" w:hAnsi="Calibri" w:cs="Calibri"/>
          <w:b/>
          <w:b/>
          <w:sz w:val="22"/>
          <w:szCs w:val="22"/>
          <w:highlight w:val="yellow"/>
        </w:rPr>
      </w:pPr>
      <w:r>
        <w:rPr/>
        <w:drawing>
          <wp:inline distT="0" distB="0" distL="0" distR="0">
            <wp:extent cx="4879340" cy="2113915"/>
            <wp:effectExtent l="0" t="0" r="0" b="0"/>
            <wp:docPr id="3"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5" descr=""/>
                    <pic:cNvPicPr>
                      <a:picLocks noChangeAspect="1" noChangeArrowheads="1"/>
                    </pic:cNvPicPr>
                  </pic:nvPicPr>
                  <pic:blipFill>
                    <a:blip r:embed="rId4"/>
                    <a:stretch>
                      <a:fillRect/>
                    </a:stretch>
                  </pic:blipFill>
                  <pic:spPr bwMode="auto">
                    <a:xfrm>
                      <a:off x="0" y="0"/>
                      <a:ext cx="4879340" cy="2113915"/>
                    </a:xfrm>
                    <a:prstGeom prst="rect">
                      <a:avLst/>
                    </a:prstGeom>
                  </pic:spPr>
                </pic:pic>
              </a:graphicData>
            </a:graphic>
          </wp:inline>
        </w:drawing>
      </w:r>
    </w:p>
    <w:p>
      <w:pPr>
        <w:pStyle w:val="Normal"/>
        <w:spacing w:lineRule="auto" w:line="360"/>
        <w:jc w:val="both"/>
        <w:rPr>
          <w:rFonts w:ascii="Calibri" w:hAnsi="Calibri" w:cs="Calibri"/>
          <w:b/>
          <w:b/>
          <w:sz w:val="22"/>
          <w:szCs w:val="22"/>
          <w:highlight w:val="yellow"/>
        </w:rPr>
      </w:pPr>
      <w:r>
        <w:rPr>
          <w:rFonts w:cs="Calibri" w:ascii="Calibri" w:hAnsi="Calibri"/>
          <w:b/>
          <w:sz w:val="22"/>
          <w:szCs w:val="22"/>
          <w:highlight w:val="yellow"/>
        </w:rPr>
      </w:r>
    </w:p>
    <w:p>
      <w:pPr>
        <w:pStyle w:val="Normal"/>
        <w:spacing w:lineRule="auto" w:line="360"/>
        <w:ind w:firstLine="708"/>
        <w:jc w:val="both"/>
        <w:rPr>
          <w:rFonts w:ascii="Calibri" w:hAnsi="Calibri" w:cs="Calibri"/>
          <w:b/>
          <w:b/>
          <w:sz w:val="22"/>
          <w:szCs w:val="22"/>
        </w:rPr>
      </w:pPr>
      <w:r>
        <w:rPr>
          <w:rFonts w:cs="Calibri" w:ascii="Calibri" w:hAnsi="Calibri"/>
          <w:b/>
          <w:sz w:val="22"/>
          <w:szCs w:val="22"/>
        </w:rPr>
        <w:t>L’estalvi net,</w:t>
      </w:r>
      <w:r>
        <w:rPr>
          <w:rFonts w:cs="Calibri" w:ascii="Calibri" w:hAnsi="Calibri"/>
          <w:sz w:val="22"/>
          <w:szCs w:val="22"/>
        </w:rPr>
        <w:t xml:space="preserve"> es situa en un import de 5.105,76 €, complint amb la limitació legal al no ésser negatiu. Per tant, en aplicació de la normativa vigent per a 2022, l’Organisme Autònom</w:t>
      </w:r>
      <w:r>
        <w:rPr>
          <w:rFonts w:cs="Calibri" w:ascii="Calibri" w:hAnsi="Calibri"/>
          <w:b/>
          <w:bCs/>
          <w:sz w:val="22"/>
          <w:szCs w:val="22"/>
        </w:rPr>
        <w:t xml:space="preserve"> SI </w:t>
      </w:r>
      <w:r>
        <w:rPr>
          <w:rFonts w:cs="Calibri" w:ascii="Calibri" w:hAnsi="Calibri"/>
          <w:sz w:val="22"/>
          <w:szCs w:val="22"/>
        </w:rPr>
        <w:t>es situa dins dels paràmetres legals que permeten la concertació de noves operacions d’endeutament, per al finançament d’inversions</w:t>
      </w:r>
      <w:r>
        <w:rPr>
          <w:rFonts w:cs="Calibri" w:ascii="Calibri" w:hAnsi="Calibri"/>
          <w:b/>
          <w:sz w:val="22"/>
          <w:szCs w:val="22"/>
        </w:rPr>
        <w:t>.</w:t>
      </w:r>
    </w:p>
    <w:p>
      <w:pPr>
        <w:pStyle w:val="Normal"/>
        <w:spacing w:lineRule="auto" w:line="360"/>
        <w:ind w:firstLine="708"/>
        <w:jc w:val="both"/>
        <w:rPr>
          <w:rFonts w:ascii="Calibri" w:hAnsi="Calibri" w:cs="Calibri"/>
          <w:b/>
          <w:b/>
          <w:sz w:val="22"/>
          <w:szCs w:val="22"/>
        </w:rPr>
      </w:pPr>
      <w:r>
        <w:rPr>
          <w:rFonts w:cs="Calibri" w:ascii="Calibri" w:hAnsi="Calibri"/>
          <w:b/>
          <w:sz w:val="22"/>
          <w:szCs w:val="22"/>
        </w:rPr>
      </w:r>
    </w:p>
    <w:p>
      <w:pPr>
        <w:pStyle w:val="Normal"/>
        <w:spacing w:lineRule="auto" w:line="360" w:before="0" w:after="120"/>
        <w:ind w:firstLine="720"/>
        <w:jc w:val="both"/>
        <w:rPr>
          <w:rFonts w:ascii="Calibri" w:hAnsi="Calibri" w:cs="Calibri"/>
          <w:sz w:val="22"/>
          <w:szCs w:val="22"/>
        </w:rPr>
      </w:pPr>
      <w:r>
        <w:rPr>
          <w:rFonts w:cs="Calibri" w:ascii="Calibri" w:hAnsi="Calibri"/>
          <w:sz w:val="22"/>
          <w:szCs w:val="22"/>
        </w:rPr>
        <w:t xml:space="preserve">Ateses les consideracions anteriors, estima l’informant que la liquidació objecte </w:t>
      </w:r>
      <w:r>
        <w:rPr>
          <w:rFonts w:cs="Calibri" w:ascii="Calibri" w:hAnsi="Calibri"/>
        </w:rPr>
        <w:t xml:space="preserve">d’estudi </w:t>
      </w:r>
      <w:r>
        <w:rPr>
          <w:rFonts w:cs="Calibri" w:ascii="Calibri" w:hAnsi="Calibri" w:asciiTheme="minorHAnsi" w:hAnsiTheme="minorHAnsi"/>
          <w:b/>
          <w:sz w:val="22"/>
          <w:szCs w:val="22"/>
        </w:rPr>
        <w:t xml:space="preserve">compleix </w:t>
      </w:r>
      <w:r>
        <w:rPr>
          <w:rFonts w:cs="Calibri" w:ascii="Calibri" w:hAnsi="Calibri" w:asciiTheme="minorHAnsi" w:hAnsiTheme="minorHAnsi"/>
          <w:sz w:val="22"/>
          <w:szCs w:val="22"/>
        </w:rPr>
        <w:t>amb l’objectiu principal d’estabilitat pressupostaria i amb el de deute públic i el límit d’endeutament aplicable i dona compliment a la sostenibilitat en las operacions comercials</w:t>
      </w:r>
      <w:r>
        <w:rPr>
          <w:rFonts w:cs="Calibri" w:ascii="Calibri" w:hAnsi="Calibri" w:asciiTheme="minorHAnsi" w:hAnsiTheme="minorHAnsi"/>
          <w:b/>
          <w:sz w:val="22"/>
          <w:szCs w:val="22"/>
        </w:rPr>
        <w:t xml:space="preserve"> , </w:t>
      </w:r>
      <w:r>
        <w:rPr>
          <w:rFonts w:cs="Calibri" w:ascii="Calibri" w:hAnsi="Calibri" w:asciiTheme="minorHAnsi" w:hAnsiTheme="minorHAnsi"/>
          <w:sz w:val="22"/>
          <w:szCs w:val="22"/>
        </w:rPr>
        <w:t xml:space="preserve">segons estableix la L.O. 2/2012, d’Estabilitat Pressupostaria i Sostenibilitat Financera, de 27 d’abril. </w:t>
      </w:r>
      <w:r>
        <w:rPr>
          <w:rFonts w:cs="Calibri" w:ascii="Calibri" w:hAnsi="Calibri"/>
          <w:sz w:val="22"/>
          <w:szCs w:val="22"/>
        </w:rPr>
        <w:t xml:space="preserve">No obstant, atès que l’Organisme Autònom ha de consolidar els seus comptes amb l’Ajuntament de Petra, s’haurà d’observar el compliment dels esmentats objectius sobre les magnituds consolidades. </w:t>
      </w:r>
    </w:p>
    <w:p>
      <w:pPr>
        <w:pStyle w:val="Normal"/>
        <w:spacing w:lineRule="auto" w:line="360" w:before="0" w:after="120"/>
        <w:ind w:firstLine="720"/>
        <w:jc w:val="both"/>
        <w:rPr>
          <w:rFonts w:ascii="Calibri" w:hAnsi="Calibri" w:cs="Calibri"/>
          <w:sz w:val="22"/>
          <w:szCs w:val="22"/>
        </w:rPr>
      </w:pPr>
      <w:r>
        <w:rPr>
          <w:rFonts w:cs="Calibri" w:ascii="Calibri" w:hAnsi="Calibri"/>
          <w:sz w:val="22"/>
          <w:szCs w:val="22"/>
        </w:rPr>
      </w:r>
    </w:p>
    <w:p>
      <w:pPr>
        <w:pStyle w:val="Normal"/>
        <w:spacing w:lineRule="auto" w:line="360" w:before="0" w:after="120"/>
        <w:ind w:firstLine="720"/>
        <w:jc w:val="both"/>
        <w:rPr>
          <w:rFonts w:ascii="Calibri" w:hAnsi="Calibri" w:cs="Calibri"/>
          <w:sz w:val="22"/>
          <w:szCs w:val="22"/>
        </w:rPr>
      </w:pPr>
      <w:r>
        <w:rPr>
          <w:rFonts w:cs="Calibri" w:ascii="Calibri" w:hAnsi="Calibri"/>
          <w:sz w:val="22"/>
          <w:szCs w:val="22"/>
        </w:rPr>
        <w:t>Així mateix, d’acord a la L.O. 9/2013, de 21 de desembre, de control de deute comercial del sector públic, article primer apartat u, no s’ha pogut determinar si es compleix el principi de sostenibilitat del deute comercial donat que no hi ha dades presentades al Ministeri d’Hisenda referents a la normativa sobre morositat, segons estableix l'esmentada Llei en l'article 4 sobre principi de sostenibilitat financera de la  L.O. 2/2012, d’Estabilitat Pressupostària i Sostenibilitat Financera.</w:t>
      </w:r>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sz w:val="22"/>
          <w:szCs w:val="22"/>
          <w:lang w:val="ca-ES"/>
        </w:rPr>
      </w:pPr>
      <w:r>
        <w:rPr>
          <w:rFonts w:ascii="Calibri" w:hAnsi="Calibri"/>
          <w:sz w:val="22"/>
          <w:szCs w:val="22"/>
          <w:lang w:val="ca-ES"/>
        </w:rPr>
      </w:r>
    </w:p>
    <w:p>
      <w:pPr>
        <w:pStyle w:val="Estnda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auto" w:line="360"/>
        <w:rPr>
          <w:rFonts w:ascii="Calibri" w:hAnsi="Calibri" w:cs="Calibri"/>
          <w:sz w:val="22"/>
          <w:szCs w:val="22"/>
        </w:rPr>
      </w:pPr>
      <w:r>
        <w:rPr>
          <w:rFonts w:ascii="Calibri" w:hAnsi="Calibri"/>
          <w:sz w:val="22"/>
          <w:szCs w:val="22"/>
          <w:lang w:val="ca-ES"/>
        </w:rPr>
        <w:tab/>
        <w:t xml:space="preserve">  En qualsevol cas, i d'acord amb la suspensió de les regles fiscals no resulten d'aplicació les mesures correctives i coercitives que estableix la L.O. 2/2012, d’Estabilitat Pressupostaria i Sostenibilitat Financera per a l'exercici 2022, excepte les mesures automàtiques de correcció previstes en l'article 20 de la L.O 2/2012 d'estabilitat i sostenibilitat financera, de 27 d'abril.</w:t>
      </w:r>
    </w:p>
    <w:p>
      <w:pPr>
        <w:pStyle w:val="Normal"/>
        <w:spacing w:lineRule="auto" w:line="360" w:before="0" w:after="120"/>
        <w:ind w:firstLine="720"/>
        <w:jc w:val="both"/>
        <w:rPr>
          <w:rFonts w:ascii="Calibri" w:hAnsi="Calibri" w:cs="Calibri"/>
          <w:sz w:val="22"/>
          <w:szCs w:val="22"/>
        </w:rPr>
      </w:pPr>
      <w:r>
        <w:rPr>
          <w:rFonts w:cs="Calibri" w:ascii="Calibri" w:hAnsi="Calibri"/>
          <w:sz w:val="22"/>
          <w:szCs w:val="22"/>
        </w:rPr>
      </w:r>
    </w:p>
    <w:p>
      <w:pPr>
        <w:pStyle w:val="Normal"/>
        <w:tabs>
          <w:tab w:val="clear" w:pos="708"/>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spacing w:lineRule="auto" w:line="360"/>
        <w:jc w:val="both"/>
        <w:rPr>
          <w:rFonts w:ascii="Calibri" w:hAnsi="Calibri" w:cs="Calibri"/>
          <w:spacing w:val="-3"/>
          <w:sz w:val="22"/>
          <w:szCs w:val="22"/>
        </w:rPr>
      </w:pPr>
      <w:r>
        <w:rPr>
          <w:rFonts w:cs="Calibri" w:ascii="Calibri" w:hAnsi="Calibri"/>
          <w:spacing w:val="-3"/>
          <w:sz w:val="22"/>
          <w:szCs w:val="22"/>
        </w:rPr>
        <w:tab/>
        <w:t>A Petra, a                   de</w:t>
        <w:tab/>
        <w:tab/>
        <w:t xml:space="preserve"> de 2023.</w:t>
      </w:r>
    </w:p>
    <w:p>
      <w:pPr>
        <w:pStyle w:val="Normal"/>
        <w:tabs>
          <w:tab w:val="clear" w:pos="708"/>
          <w:tab w:val="left" w:pos="-1440" w:leader="none"/>
          <w:tab w:val="left" w:pos="-720" w:leader="none"/>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suppressAutoHyphens w:val="true"/>
        <w:spacing w:lineRule="auto" w:line="360"/>
        <w:jc w:val="both"/>
        <w:rPr>
          <w:rFonts w:ascii="Calibri" w:hAnsi="Calibri" w:cs="Calibri"/>
          <w:spacing w:val="-3"/>
          <w:sz w:val="22"/>
          <w:szCs w:val="22"/>
        </w:rPr>
      </w:pPr>
      <w:r>
        <w:rPr>
          <w:rFonts w:cs="Calibri" w:ascii="Calibri" w:hAnsi="Calibri"/>
          <w:spacing w:val="-3"/>
          <w:sz w:val="22"/>
          <w:szCs w:val="22"/>
        </w:rPr>
        <w:t xml:space="preserve">    </w:t>
      </w:r>
      <w:r>
        <w:rPr>
          <w:rFonts w:cs="Calibri" w:ascii="Calibri" w:hAnsi="Calibri"/>
          <w:spacing w:val="-3"/>
          <w:sz w:val="22"/>
          <w:szCs w:val="22"/>
        </w:rPr>
        <w:tab/>
        <w:tab/>
        <w:tab/>
        <w:tab/>
        <w:tab/>
        <w:tab/>
        <w:tab/>
        <w:t>EL SECRETARI INTERVENTOR,</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RESOLUCIÓ.</w:t>
      </w:r>
    </w:p>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highlight w:val="yellow"/>
        </w:rPr>
      </w:pPr>
      <w:r>
        <w:rPr>
          <w:rFonts w:cs="Calibri" w:ascii="Calibri" w:hAnsi="Calibri"/>
          <w:sz w:val="22"/>
          <w:szCs w:val="22"/>
        </w:rPr>
        <w:t xml:space="preserve">                   </w:t>
      </w:r>
      <w:r>
        <w:rPr>
          <w:rFonts w:cs="Calibri" w:ascii="Calibri" w:hAnsi="Calibri"/>
          <w:sz w:val="22"/>
          <w:szCs w:val="22"/>
        </w:rPr>
        <w:t xml:space="preserve">A  Petra, a                      de </w:t>
        <w:tab/>
        <w:tab/>
        <w:t xml:space="preserve"> del dos mil vint-i-tres.</w:t>
      </w:r>
    </w:p>
    <w:p>
      <w:pPr>
        <w:pStyle w:val="PlainText"/>
        <w:jc w:val="both"/>
        <w:rPr>
          <w:rFonts w:ascii="Calibri" w:hAnsi="Calibri" w:cs="Calibri"/>
          <w:sz w:val="22"/>
          <w:szCs w:val="22"/>
          <w:highlight w:val="yellow"/>
        </w:rPr>
      </w:pPr>
      <w:r>
        <w:rPr>
          <w:rFonts w:cs="Calibri" w:ascii="Calibri" w:hAnsi="Calibri"/>
          <w:sz w:val="22"/>
          <w:szCs w:val="22"/>
          <w:highlight w:val="yellow"/>
        </w:rPr>
      </w:r>
    </w:p>
    <w:p>
      <w:pPr>
        <w:pStyle w:val="PlainText"/>
        <w:jc w:val="both"/>
        <w:rPr>
          <w:rFonts w:ascii="Calibri" w:hAnsi="Calibri" w:cs="Calibri"/>
          <w:sz w:val="22"/>
          <w:szCs w:val="22"/>
          <w:highlight w:val="yellow"/>
        </w:rPr>
      </w:pPr>
      <w:r>
        <w:rPr>
          <w:rFonts w:cs="Calibri" w:ascii="Calibri" w:hAnsi="Calibri"/>
          <w:sz w:val="22"/>
          <w:szCs w:val="22"/>
          <w:highlight w:val="yellow"/>
        </w:rPr>
      </w:r>
    </w:p>
    <w:p>
      <w:pPr>
        <w:pStyle w:val="PlainText"/>
        <w:jc w:val="both"/>
        <w:rPr>
          <w:rFonts w:ascii="Calibri" w:hAnsi="Calibri" w:cs="Calibri"/>
          <w:sz w:val="22"/>
          <w:szCs w:val="22"/>
        </w:rPr>
      </w:pPr>
      <w:r>
        <w:rPr>
          <w:rFonts w:cs="Calibri" w:ascii="Calibri" w:hAnsi="Calibri"/>
          <w:sz w:val="22"/>
          <w:szCs w:val="22"/>
        </w:rPr>
        <w:t>Vist l'expedient de Liquidació del Pressupost General del 2022 formulada per la Intervenció en compliment del que es disposa en l'article 89 del Reial Decret 500/1990 de 20 d'abril.</w:t>
      </w:r>
    </w:p>
    <w:p>
      <w:pPr>
        <w:pStyle w:val="PlainText"/>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tab/>
        <w:t>De conformitat amb el que es disposa en els esmentats articles, per la  present,</w:t>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HE RESOLT: Aprovar la següent liquidació:</w:t>
      </w:r>
    </w:p>
    <w:p>
      <w:pPr>
        <w:pStyle w:val="PlainText"/>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u w:val="single"/>
        </w:rPr>
        <w:t>Resultat Pressupostari</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tbl>
      <w:tblPr>
        <w:tblW w:w="7548"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744"/>
        <w:gridCol w:w="4535"/>
        <w:gridCol w:w="2269"/>
      </w:tblGrid>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1.</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DRETS RECONEGUTS NETS</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57.327,73</w:t>
            </w:r>
          </w:p>
        </w:tc>
      </w:tr>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2.</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OBLIGACIONS RECONEGUDES NETES</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52.221,97</w:t>
            </w:r>
          </w:p>
        </w:tc>
      </w:tr>
      <w:tr>
        <w:trPr/>
        <w:tc>
          <w:tcPr>
            <w:tcW w:w="744" w:type="dxa"/>
            <w:tcBorders/>
            <w:shd w:color="auto" w:fill="auto" w:val="clear"/>
          </w:tcPr>
          <w:p>
            <w:pPr>
              <w:pStyle w:val="PlainText"/>
              <w:widowControl w:val="false"/>
              <w:ind w:firstLine="360"/>
              <w:rPr>
                <w:rFonts w:ascii="Calibri" w:hAnsi="Calibri" w:cs="Calibri"/>
                <w:b/>
                <w:b/>
                <w:sz w:val="22"/>
                <w:szCs w:val="22"/>
              </w:rPr>
            </w:pPr>
            <w:r>
              <w:rPr>
                <w:rFonts w:cs="Calibri" w:ascii="Calibri" w:hAnsi="Calibri"/>
                <w:b/>
                <w:sz w:val="22"/>
                <w:szCs w:val="22"/>
              </w:rPr>
            </w:r>
          </w:p>
        </w:tc>
        <w:tc>
          <w:tcPr>
            <w:tcW w:w="4535" w:type="dxa"/>
            <w:tcBorders/>
            <w:shd w:color="auto" w:fill="auto" w:val="clear"/>
          </w:tcPr>
          <w:p>
            <w:pPr>
              <w:pStyle w:val="PlainText"/>
              <w:widowControl w:val="false"/>
              <w:ind w:firstLine="360"/>
              <w:rPr>
                <w:rFonts w:ascii="Calibri" w:hAnsi="Calibri" w:cs="Calibri"/>
                <w:b/>
                <w:b/>
                <w:sz w:val="22"/>
                <w:szCs w:val="22"/>
              </w:rPr>
            </w:pPr>
            <w:r>
              <w:rPr>
                <w:rFonts w:cs="Calibri" w:ascii="Calibri" w:hAnsi="Calibri"/>
                <w:b/>
                <w:sz w:val="22"/>
                <w:szCs w:val="22"/>
              </w:rPr>
              <w:t>RESULTAT PRESSUPOSTARI DE L’EXERCICI</w:t>
            </w:r>
          </w:p>
        </w:tc>
        <w:tc>
          <w:tcPr>
            <w:tcW w:w="2269" w:type="dxa"/>
            <w:tcBorders/>
            <w:shd w:color="auto" w:fill="auto" w:val="clear"/>
          </w:tcPr>
          <w:p>
            <w:pPr>
              <w:pStyle w:val="PlainText"/>
              <w:widowControl w:val="false"/>
              <w:ind w:firstLine="360"/>
              <w:jc w:val="right"/>
              <w:rPr>
                <w:rFonts w:ascii="Calibri" w:hAnsi="Calibri" w:cs="Calibri"/>
                <w:b/>
                <w:b/>
                <w:sz w:val="22"/>
                <w:szCs w:val="22"/>
              </w:rPr>
            </w:pPr>
            <w:r>
              <w:rPr>
                <w:rFonts w:cs="Calibri" w:ascii="Calibri" w:hAnsi="Calibri"/>
                <w:b/>
                <w:sz w:val="22"/>
                <w:szCs w:val="22"/>
              </w:rPr>
              <w:t>5.105,76</w:t>
            </w:r>
          </w:p>
        </w:tc>
      </w:tr>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3.</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Crèdits finançats amb romanent general</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0,00</w:t>
            </w:r>
          </w:p>
        </w:tc>
      </w:tr>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4.</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Desviacions de finançament negatiu</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0,00</w:t>
            </w:r>
          </w:p>
        </w:tc>
      </w:tr>
      <w:tr>
        <w:trPr/>
        <w:tc>
          <w:tcPr>
            <w:tcW w:w="744"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5.</w:t>
            </w:r>
          </w:p>
        </w:tc>
        <w:tc>
          <w:tcPr>
            <w:tcW w:w="4535" w:type="dxa"/>
            <w:tcBorders/>
            <w:shd w:color="auto" w:fill="auto" w:val="clear"/>
          </w:tcPr>
          <w:p>
            <w:pPr>
              <w:pStyle w:val="PlainText"/>
              <w:widowControl w:val="false"/>
              <w:ind w:firstLine="360"/>
              <w:rPr>
                <w:rFonts w:ascii="Calibri" w:hAnsi="Calibri" w:cs="Calibri"/>
                <w:sz w:val="22"/>
                <w:szCs w:val="22"/>
              </w:rPr>
            </w:pPr>
            <w:r>
              <w:rPr>
                <w:rFonts w:cs="Calibri" w:ascii="Calibri" w:hAnsi="Calibri"/>
                <w:sz w:val="22"/>
                <w:szCs w:val="22"/>
              </w:rPr>
              <w:t>(-) Desviacions de finançament positiu</w:t>
            </w:r>
          </w:p>
        </w:tc>
        <w:tc>
          <w:tcPr>
            <w:tcW w:w="2269" w:type="dxa"/>
            <w:tcBorders/>
            <w:shd w:color="auto" w:fill="auto" w:val="clear"/>
          </w:tcPr>
          <w:p>
            <w:pPr>
              <w:pStyle w:val="PlainText"/>
              <w:widowControl w:val="false"/>
              <w:ind w:firstLine="360"/>
              <w:jc w:val="right"/>
              <w:rPr>
                <w:rFonts w:ascii="Calibri" w:hAnsi="Calibri" w:cs="Calibri"/>
                <w:sz w:val="22"/>
                <w:szCs w:val="22"/>
              </w:rPr>
            </w:pPr>
            <w:r>
              <w:rPr>
                <w:rFonts w:cs="Calibri" w:ascii="Calibri" w:hAnsi="Calibri"/>
                <w:sz w:val="22"/>
                <w:szCs w:val="22"/>
              </w:rPr>
              <w:t>0,00</w:t>
            </w:r>
          </w:p>
        </w:tc>
      </w:tr>
      <w:tr>
        <w:trPr>
          <w:trHeight w:val="355" w:hRule="atLeast"/>
        </w:trPr>
        <w:tc>
          <w:tcPr>
            <w:tcW w:w="744" w:type="dxa"/>
            <w:tcBorders/>
            <w:shd w:color="auto" w:fill="auto" w:val="clear"/>
          </w:tcPr>
          <w:p>
            <w:pPr>
              <w:pStyle w:val="PlainText"/>
              <w:widowControl w:val="false"/>
              <w:ind w:firstLine="360"/>
              <w:rPr>
                <w:rFonts w:ascii="Calibri" w:hAnsi="Calibri" w:cs="Calibri"/>
                <w:b/>
                <w:b/>
                <w:sz w:val="22"/>
                <w:szCs w:val="22"/>
              </w:rPr>
            </w:pPr>
            <w:r>
              <w:rPr>
                <w:rFonts w:cs="Calibri" w:ascii="Calibri" w:hAnsi="Calibri"/>
                <w:b/>
                <w:sz w:val="22"/>
                <w:szCs w:val="22"/>
              </w:rPr>
            </w:r>
          </w:p>
        </w:tc>
        <w:tc>
          <w:tcPr>
            <w:tcW w:w="4535" w:type="dxa"/>
            <w:tcBorders/>
            <w:shd w:color="auto" w:fill="auto" w:val="clear"/>
          </w:tcPr>
          <w:p>
            <w:pPr>
              <w:pStyle w:val="PlainText"/>
              <w:widowControl w:val="false"/>
              <w:ind w:firstLine="360"/>
              <w:rPr>
                <w:rFonts w:ascii="Calibri" w:hAnsi="Calibri" w:cs="Calibri"/>
                <w:b/>
                <w:b/>
                <w:sz w:val="22"/>
                <w:szCs w:val="22"/>
              </w:rPr>
            </w:pPr>
            <w:r>
              <w:rPr>
                <w:rFonts w:cs="Calibri" w:ascii="Calibri" w:hAnsi="Calibri"/>
                <w:b/>
                <w:sz w:val="22"/>
                <w:szCs w:val="22"/>
              </w:rPr>
              <w:t>RESULTAT PRESSUPOSTARI AJUSTAT</w:t>
            </w:r>
          </w:p>
        </w:tc>
        <w:tc>
          <w:tcPr>
            <w:tcW w:w="2269" w:type="dxa"/>
            <w:tcBorders/>
            <w:shd w:color="auto" w:fill="auto" w:val="clear"/>
          </w:tcPr>
          <w:p>
            <w:pPr>
              <w:pStyle w:val="PlainText"/>
              <w:widowControl w:val="false"/>
              <w:ind w:firstLine="360"/>
              <w:jc w:val="right"/>
              <w:rPr>
                <w:rFonts w:ascii="Calibri" w:hAnsi="Calibri" w:cs="Calibri"/>
                <w:b/>
                <w:b/>
                <w:sz w:val="22"/>
                <w:szCs w:val="22"/>
              </w:rPr>
            </w:pPr>
            <w:r>
              <w:rPr>
                <w:rFonts w:cs="Calibri" w:ascii="Calibri" w:hAnsi="Calibri"/>
                <w:b/>
                <w:sz w:val="22"/>
                <w:szCs w:val="22"/>
              </w:rPr>
              <w:t>5.105,76</w:t>
            </w:r>
          </w:p>
        </w:tc>
      </w:tr>
    </w:tbl>
    <w:p>
      <w:pPr>
        <w:pStyle w:val="PlainText"/>
        <w:ind w:firstLine="360"/>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t xml:space="preserve">De l'esmentada liquidació es dedueix el següent </w:t>
      </w:r>
      <w:r>
        <w:rPr>
          <w:rFonts w:cs="Calibri" w:ascii="Calibri" w:hAnsi="Calibri"/>
          <w:sz w:val="22"/>
          <w:szCs w:val="22"/>
          <w:u w:val="single"/>
        </w:rPr>
        <w:t>Romanent de Tresoreria</w:t>
      </w:r>
      <w:r>
        <w:rPr>
          <w:rFonts w:cs="Calibri" w:ascii="Calibri" w:hAnsi="Calibri"/>
          <w:sz w:val="22"/>
          <w:szCs w:val="22"/>
        </w:rPr>
        <w:t>:</w:t>
      </w:r>
    </w:p>
    <w:p>
      <w:pPr>
        <w:pStyle w:val="PlainText"/>
        <w:ind w:firstLine="360"/>
        <w:jc w:val="both"/>
        <w:rPr>
          <w:rFonts w:ascii="Calibri" w:hAnsi="Calibri" w:cs="Calibri"/>
          <w:sz w:val="22"/>
          <w:szCs w:val="22"/>
        </w:rPr>
      </w:pPr>
      <w:r>
        <w:rPr>
          <w:rFonts w:cs="Calibri" w:ascii="Calibri" w:hAnsi="Calibri"/>
          <w:sz w:val="22"/>
          <w:szCs w:val="22"/>
        </w:rPr>
      </w:r>
    </w:p>
    <w:p>
      <w:pPr>
        <w:pStyle w:val="PlainText"/>
        <w:ind w:firstLine="360"/>
        <w:jc w:val="both"/>
        <w:rPr>
          <w:rFonts w:ascii="Calibri" w:hAnsi="Calibri" w:cs="Calibri"/>
          <w:sz w:val="22"/>
          <w:szCs w:val="22"/>
        </w:rPr>
      </w:pPr>
      <w:r>
        <w:rPr>
          <w:rFonts w:cs="Calibri" w:ascii="Calibri" w:hAnsi="Calibri"/>
          <w:sz w:val="22"/>
          <w:szCs w:val="22"/>
        </w:rPr>
      </w:r>
    </w:p>
    <w:tbl>
      <w:tblPr>
        <w:tblW w:w="7960" w:type="dxa"/>
        <w:jc w:val="left"/>
        <w:tblInd w:w="70" w:type="dxa"/>
        <w:tblLayout w:type="fixed"/>
        <w:tblCellMar>
          <w:top w:w="0" w:type="dxa"/>
          <w:left w:w="70" w:type="dxa"/>
          <w:bottom w:w="0" w:type="dxa"/>
          <w:right w:w="70" w:type="dxa"/>
        </w:tblCellMar>
        <w:tblLook w:firstRow="1" w:noVBand="1" w:lastRow="0" w:firstColumn="1" w:lastColumn="0" w:noHBand="0" w:val="04a0"/>
      </w:tblPr>
      <w:tblGrid>
        <w:gridCol w:w="386"/>
        <w:gridCol w:w="5461"/>
        <w:gridCol w:w="1056"/>
        <w:gridCol w:w="1056"/>
      </w:tblGrid>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1.</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FONS LÍQUIDS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11.529,40</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2.</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DRETS PENDENTS DE COBRAMENT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225,60</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del pressupost corrent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de pressupostos tancats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d'operacions no pressupostàries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225,60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3.</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 OBLIGACIONS PENDENTS DE PAGAMENT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935,34</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del pressupost corrent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de pressupostos tancats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d'operacions no pressupostàries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935,34.</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4.</w:t>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PARTIDES PENDENTS D'APLICACIÓ</w:t>
            </w:r>
          </w:p>
        </w:tc>
        <w:tc>
          <w:tcPr>
            <w:tcW w:w="105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2.468,09</w:t>
            </w:r>
          </w:p>
        </w:tc>
      </w:tr>
      <w:tr>
        <w:trPr>
          <w:trHeight w:val="300" w:hRule="atLeast"/>
        </w:trPr>
        <w:tc>
          <w:tcPr>
            <w:tcW w:w="38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cobraments efectuats pendents d'aplicació definitiva</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atLeast"/>
        </w:trPr>
        <w:tc>
          <w:tcPr>
            <w:tcW w:w="386" w:type="dxa"/>
            <w:tcBorders/>
            <w:shd w:color="auto" w:fill="auto" w:val="clear"/>
            <w:vAlign w:val="center"/>
          </w:tcPr>
          <w:p>
            <w:pPr>
              <w:pStyle w:val="Normal"/>
              <w:widowControl w:val="false"/>
              <w:jc w:val="right"/>
              <w:rPr>
                <w:sz w:val="20"/>
                <w:szCs w:val="20"/>
              </w:rPr>
            </w:pPr>
            <w:r>
              <w:rPr>
                <w:sz w:val="20"/>
                <w:szCs w:val="20"/>
              </w:rPr>
            </w:r>
          </w:p>
        </w:tc>
        <w:tc>
          <w:tcPr>
            <w:tcW w:w="5461"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 pagaments efectuats pendents d'aplicació definitiva</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2.468,09</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r>
          </w:p>
        </w:tc>
      </w:tr>
      <w:tr>
        <w:trPr>
          <w:trHeight w:val="300" w:hRule="exact"/>
        </w:trPr>
        <w:tc>
          <w:tcPr>
            <w:tcW w:w="386" w:type="dxa"/>
            <w:tcBorders/>
            <w:shd w:color="auto" w:fill="auto" w:val="clear"/>
            <w:vAlign w:val="center"/>
          </w:tcPr>
          <w:p>
            <w:pPr>
              <w:pStyle w:val="Normal"/>
              <w:widowControl w:val="false"/>
              <w:jc w:val="right"/>
              <w:rPr>
                <w:sz w:val="20"/>
                <w:szCs w:val="20"/>
              </w:rPr>
            </w:pPr>
            <w:r>
              <w:rPr>
                <w:sz w:val="20"/>
                <w:szCs w:val="20"/>
              </w:rPr>
            </w:r>
          </w:p>
        </w:tc>
        <w:tc>
          <w:tcPr>
            <w:tcW w:w="6517" w:type="dxa"/>
            <w:gridSpan w:val="2"/>
            <w:tcBorders/>
            <w:shd w:color="auto" w:fill="auto" w:val="clear"/>
            <w:vAlign w:val="center"/>
          </w:tcPr>
          <w:p>
            <w:pPr>
              <w:pStyle w:val="Normal"/>
              <w:widowControl w:val="false"/>
              <w:jc w:val="both"/>
              <w:rPr>
                <w:sz w:val="20"/>
                <w:szCs w:val="20"/>
              </w:rPr>
            </w:pPr>
            <w:r>
              <w:rPr>
                <w:sz w:val="20"/>
                <w:szCs w:val="20"/>
              </w:rPr>
            </w:r>
          </w:p>
        </w:tc>
        <w:tc>
          <w:tcPr>
            <w:tcW w:w="1056" w:type="dxa"/>
            <w:tcBorders/>
            <w:shd w:color="auto" w:fill="auto" w:val="clear"/>
            <w:vAlign w:val="center"/>
          </w:tcPr>
          <w:p>
            <w:pPr>
              <w:pStyle w:val="Normal"/>
              <w:widowControl w:val="false"/>
              <w:rPr>
                <w:sz w:val="20"/>
                <w:szCs w:val="20"/>
              </w:rPr>
            </w:pPr>
            <w:r>
              <w:rPr>
                <w:sz w:val="20"/>
                <w:szCs w:val="20"/>
              </w:rPr>
            </w:r>
          </w:p>
        </w:tc>
      </w:tr>
      <w:tr>
        <w:trPr>
          <w:trHeight w:val="300" w:hRule="atLeast"/>
        </w:trPr>
        <w:tc>
          <w:tcPr>
            <w:tcW w:w="38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I.</w:t>
            </w:r>
          </w:p>
        </w:tc>
        <w:tc>
          <w:tcPr>
            <w:tcW w:w="5461"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 xml:space="preserve">ROMANENT DE TRESORERIA TOTAL </w:t>
            </w:r>
          </w:p>
        </w:tc>
        <w:tc>
          <w:tcPr>
            <w:tcW w:w="105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r>
          </w:p>
        </w:tc>
        <w:tc>
          <w:tcPr>
            <w:tcW w:w="1056" w:type="dxa"/>
            <w:tcBorders/>
            <w:shd w:color="auto" w:fill="auto" w:val="clear"/>
            <w:vAlign w:val="center"/>
          </w:tcPr>
          <w:p>
            <w:pPr>
              <w:pStyle w:val="Normal"/>
              <w:widowControl w:val="false"/>
              <w:jc w:val="right"/>
              <w:rPr>
                <w:rFonts w:ascii="Calibri" w:hAnsi="Calibri"/>
                <w:b/>
                <w:b/>
                <w:bCs/>
                <w:color w:val="000000"/>
                <w:sz w:val="22"/>
                <w:szCs w:val="22"/>
              </w:rPr>
            </w:pPr>
            <w:r>
              <w:rPr>
                <w:rFonts w:ascii="Calibri" w:hAnsi="Calibri"/>
                <w:b/>
                <w:bCs/>
                <w:color w:val="000000"/>
                <w:sz w:val="22"/>
                <w:szCs w:val="22"/>
              </w:rPr>
              <w:t>13.287,75</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II.</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SALDO DE COBRAMENT DUBTÓS</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r>
      <w:tr>
        <w:trPr>
          <w:trHeight w:val="300" w:hRule="atLeast"/>
        </w:trPr>
        <w:tc>
          <w:tcPr>
            <w:tcW w:w="386" w:type="dxa"/>
            <w:tcBorders/>
            <w:shd w:color="auto" w:fill="auto" w:val="clear"/>
            <w:vAlign w:val="center"/>
          </w:tcPr>
          <w:p>
            <w:pPr>
              <w:pStyle w:val="Normal"/>
              <w:widowControl w:val="false"/>
              <w:jc w:val="both"/>
              <w:rPr>
                <w:rFonts w:ascii="Calibri" w:hAnsi="Calibri"/>
                <w:color w:val="000000"/>
                <w:sz w:val="22"/>
                <w:szCs w:val="22"/>
              </w:rPr>
            </w:pPr>
            <w:r>
              <w:rPr>
                <w:rFonts w:ascii="Calibri" w:hAnsi="Calibri"/>
                <w:color w:val="000000"/>
                <w:sz w:val="22"/>
                <w:szCs w:val="22"/>
              </w:rPr>
              <w:t>III.</w:t>
            </w:r>
          </w:p>
        </w:tc>
        <w:tc>
          <w:tcPr>
            <w:tcW w:w="6517" w:type="dxa"/>
            <w:gridSpan w:val="2"/>
            <w:tcBorders/>
            <w:shd w:color="auto" w:fill="auto" w:val="clear"/>
            <w:vAlign w:val="center"/>
          </w:tcPr>
          <w:p>
            <w:pPr>
              <w:pStyle w:val="Normal"/>
              <w:widowControl w:val="false"/>
              <w:rPr>
                <w:rFonts w:ascii="Calibri" w:hAnsi="Calibri"/>
                <w:color w:val="000000"/>
                <w:sz w:val="22"/>
                <w:szCs w:val="22"/>
              </w:rPr>
            </w:pPr>
            <w:r>
              <w:rPr>
                <w:rFonts w:ascii="Calibri" w:hAnsi="Calibri"/>
                <w:color w:val="000000"/>
                <w:sz w:val="22"/>
                <w:szCs w:val="22"/>
              </w:rPr>
              <w:t>EXCÉS DE FINANÇAMENT AFECTAT</w:t>
            </w:r>
          </w:p>
        </w:tc>
        <w:tc>
          <w:tcPr>
            <w:tcW w:w="1056" w:type="dxa"/>
            <w:tcBorders/>
            <w:shd w:color="auto" w:fill="auto" w:val="clear"/>
            <w:vAlign w:val="center"/>
          </w:tcPr>
          <w:p>
            <w:pPr>
              <w:pStyle w:val="Normal"/>
              <w:widowControl w:val="false"/>
              <w:jc w:val="right"/>
              <w:rPr>
                <w:rFonts w:ascii="Calibri" w:hAnsi="Calibri"/>
                <w:color w:val="000000"/>
                <w:sz w:val="22"/>
                <w:szCs w:val="22"/>
              </w:rPr>
            </w:pPr>
            <w:r>
              <w:rPr>
                <w:rFonts w:ascii="Calibri" w:hAnsi="Calibri"/>
                <w:color w:val="000000"/>
                <w:sz w:val="22"/>
                <w:szCs w:val="22"/>
              </w:rPr>
              <w:t>0,00</w:t>
            </w:r>
          </w:p>
        </w:tc>
      </w:tr>
      <w:tr>
        <w:trPr>
          <w:trHeight w:val="300" w:hRule="atLeast"/>
        </w:trPr>
        <w:tc>
          <w:tcPr>
            <w:tcW w:w="386" w:type="dxa"/>
            <w:tcBorders/>
            <w:shd w:color="auto" w:fill="auto" w:val="clear"/>
            <w:vAlign w:val="center"/>
          </w:tcPr>
          <w:p>
            <w:pPr>
              <w:pStyle w:val="Normal"/>
              <w:widowControl w:val="false"/>
              <w:jc w:val="both"/>
              <w:rPr>
                <w:rFonts w:ascii="Calibri" w:hAnsi="Calibri"/>
                <w:b/>
                <w:b/>
                <w:bCs/>
                <w:color w:val="000000"/>
                <w:sz w:val="22"/>
                <w:szCs w:val="22"/>
              </w:rPr>
            </w:pPr>
            <w:r>
              <w:rPr>
                <w:rFonts w:ascii="Calibri" w:hAnsi="Calibri"/>
                <w:b/>
                <w:bCs/>
                <w:color w:val="000000"/>
                <w:sz w:val="22"/>
                <w:szCs w:val="22"/>
              </w:rPr>
              <w:t>IV.</w:t>
            </w:r>
          </w:p>
        </w:tc>
        <w:tc>
          <w:tcPr>
            <w:tcW w:w="5461" w:type="dxa"/>
            <w:tcBorders/>
            <w:shd w:color="auto" w:fill="auto" w:val="clear"/>
            <w:vAlign w:val="bottom"/>
          </w:tcPr>
          <w:p>
            <w:pPr>
              <w:pStyle w:val="Normal"/>
              <w:widowControl w:val="false"/>
              <w:rPr>
                <w:rFonts w:ascii="Calibri" w:hAnsi="Calibri"/>
                <w:b/>
                <w:b/>
                <w:bCs/>
                <w:color w:val="000000"/>
                <w:sz w:val="22"/>
                <w:szCs w:val="22"/>
              </w:rPr>
            </w:pPr>
            <w:r>
              <w:rPr>
                <w:rFonts w:ascii="Calibri" w:hAnsi="Calibri"/>
                <w:b/>
                <w:bCs/>
                <w:color w:val="000000"/>
                <w:sz w:val="22"/>
                <w:szCs w:val="22"/>
              </w:rPr>
              <w:t>ROMANENT DE TRESORERIA PER A DESPESES GENERALS</w:t>
            </w:r>
          </w:p>
        </w:tc>
        <w:tc>
          <w:tcPr>
            <w:tcW w:w="1056" w:type="dxa"/>
            <w:tcBorders/>
            <w:shd w:color="auto" w:fill="auto" w:val="clear"/>
            <w:vAlign w:val="bottom"/>
          </w:tcPr>
          <w:p>
            <w:pPr>
              <w:pStyle w:val="Normal"/>
              <w:widowControl w:val="false"/>
              <w:rPr>
                <w:rFonts w:ascii="Calibri" w:hAnsi="Calibri"/>
                <w:b/>
                <w:b/>
                <w:bCs/>
                <w:color w:val="000000"/>
                <w:sz w:val="22"/>
                <w:szCs w:val="22"/>
              </w:rPr>
            </w:pPr>
            <w:r>
              <w:rPr>
                <w:rFonts w:ascii="Calibri" w:hAnsi="Calibri"/>
                <w:b/>
                <w:bCs/>
                <w:color w:val="000000"/>
                <w:sz w:val="22"/>
                <w:szCs w:val="22"/>
              </w:rPr>
            </w:r>
          </w:p>
        </w:tc>
        <w:tc>
          <w:tcPr>
            <w:tcW w:w="1056" w:type="dxa"/>
            <w:tcBorders/>
            <w:shd w:color="auto" w:fill="auto" w:val="clear"/>
            <w:vAlign w:val="bottom"/>
          </w:tcPr>
          <w:p>
            <w:pPr>
              <w:pStyle w:val="Normal"/>
              <w:widowControl w:val="false"/>
              <w:jc w:val="right"/>
              <w:rPr>
                <w:rFonts w:ascii="Calibri" w:hAnsi="Calibri"/>
                <w:b/>
                <w:b/>
                <w:bCs/>
                <w:color w:val="000000"/>
                <w:sz w:val="22"/>
                <w:szCs w:val="22"/>
              </w:rPr>
            </w:pPr>
            <w:r>
              <w:rPr>
                <w:rFonts w:ascii="Calibri" w:hAnsi="Calibri"/>
                <w:b/>
                <w:bCs/>
                <w:color w:val="000000"/>
                <w:sz w:val="22"/>
                <w:szCs w:val="22"/>
              </w:rPr>
              <w:t>13.287,75</w:t>
            </w:r>
          </w:p>
        </w:tc>
      </w:tr>
    </w:tbl>
    <w:p>
      <w:pPr>
        <w:pStyle w:val="PlainText"/>
        <w:ind w:firstLine="708"/>
        <w:jc w:val="both"/>
        <w:rPr>
          <w:rFonts w:ascii="Calibri" w:hAnsi="Calibri" w:cs="Calibri"/>
          <w:sz w:val="22"/>
          <w:szCs w:val="22"/>
        </w:rPr>
      </w:pPr>
      <w:r>
        <w:rPr>
          <w:rFonts w:cs="Calibri" w:ascii="Calibri" w:hAnsi="Calibri"/>
          <w:sz w:val="22"/>
          <w:szCs w:val="22"/>
        </w:rPr>
        <w:t>Conseqüentment, la liquidació del Pressupost dona un resultat de 13.287,75,- Euros, sense que correspongui efectuar l’ajust de saldos de dubtós cobrament, ni cap quantitat sensible de ser incorporada amb finançament afectat.</w:t>
      </w:r>
    </w:p>
    <w:p>
      <w:pPr>
        <w:pStyle w:val="PlainText"/>
        <w:ind w:firstLine="708"/>
        <w:jc w:val="both"/>
        <w:rPr>
          <w:rFonts w:ascii="Calibri" w:hAnsi="Calibri" w:cs="Calibri"/>
          <w:sz w:val="22"/>
          <w:szCs w:val="22"/>
        </w:rPr>
      </w:pPr>
      <w:r>
        <w:rPr>
          <w:rFonts w:cs="Calibri" w:ascii="Calibri" w:hAnsi="Calibri"/>
          <w:sz w:val="22"/>
          <w:szCs w:val="22"/>
        </w:rPr>
      </w:r>
    </w:p>
    <w:p>
      <w:pPr>
        <w:pStyle w:val="PlainText"/>
        <w:ind w:left="708" w:hanging="0"/>
        <w:jc w:val="both"/>
        <w:rPr>
          <w:rFonts w:ascii="Calibri" w:hAnsi="Calibri" w:cs="Calibri"/>
          <w:sz w:val="22"/>
          <w:szCs w:val="22"/>
        </w:rPr>
      </w:pPr>
      <w:r>
        <w:rPr>
          <w:rFonts w:cs="Calibri" w:ascii="Calibri" w:hAnsi="Calibri"/>
          <w:sz w:val="22"/>
          <w:szCs w:val="22"/>
        </w:rPr>
        <w:t>D’aquesta manera de l’esmentada Liquidació del Pressupost es dedueix el següent Romanent disponible:</w:t>
      </w:r>
    </w:p>
    <w:p>
      <w:pPr>
        <w:pStyle w:val="PlainText"/>
        <w:ind w:firstLine="708"/>
        <w:jc w:val="both"/>
        <w:rPr>
          <w:rFonts w:ascii="Calibri" w:hAnsi="Calibri" w:cs="Calibri"/>
          <w:sz w:val="22"/>
          <w:szCs w:val="22"/>
        </w:rPr>
      </w:pPr>
      <w:r>
        <w:rPr>
          <w:rFonts w:cs="Calibri" w:ascii="Calibri" w:hAnsi="Calibri"/>
          <w:sz w:val="22"/>
          <w:szCs w:val="22"/>
        </w:rPr>
      </w:r>
    </w:p>
    <w:tbl>
      <w:tblPr>
        <w:tblW w:w="7787"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010"/>
        <w:gridCol w:w="1776"/>
      </w:tblGrid>
      <w:tr>
        <w:trPr/>
        <w:tc>
          <w:tcPr>
            <w:tcW w:w="6010" w:type="dxa"/>
            <w:tcBorders/>
            <w:shd w:color="auto" w:fill="auto" w:val="clear"/>
          </w:tcPr>
          <w:p>
            <w:pPr>
              <w:pStyle w:val="PlainText"/>
              <w:widowControl w:val="false"/>
              <w:jc w:val="both"/>
              <w:rPr>
                <w:rFonts w:ascii="Calibri" w:hAnsi="Calibri" w:cs="Calibri"/>
                <w:sz w:val="22"/>
                <w:szCs w:val="22"/>
              </w:rPr>
            </w:pPr>
            <w:r>
              <w:rPr>
                <w:rFonts w:cs="Calibri" w:ascii="Calibri" w:hAnsi="Calibri"/>
                <w:sz w:val="22"/>
                <w:szCs w:val="22"/>
              </w:rPr>
              <w:t>Romanent de tresoreria total</w:t>
            </w:r>
          </w:p>
        </w:tc>
        <w:tc>
          <w:tcPr>
            <w:tcW w:w="1776" w:type="dxa"/>
            <w:tcBorders/>
            <w:shd w:color="auto" w:fill="auto" w:val="clear"/>
          </w:tcPr>
          <w:p>
            <w:pPr>
              <w:pStyle w:val="PlainText"/>
              <w:widowControl w:val="false"/>
              <w:jc w:val="right"/>
              <w:rPr>
                <w:rFonts w:ascii="Calibri" w:hAnsi="Calibri" w:cs="Calibri"/>
                <w:sz w:val="22"/>
                <w:szCs w:val="22"/>
              </w:rPr>
            </w:pPr>
            <w:r>
              <w:rPr>
                <w:rFonts w:cs="Calibri" w:ascii="Calibri" w:hAnsi="Calibri"/>
                <w:sz w:val="22"/>
                <w:szCs w:val="22"/>
              </w:rPr>
              <w:t>13.287,75</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afectat a despeses amb finançament afectat (per incorporació de romanents)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0,00</w:t>
            </w:r>
          </w:p>
          <w:p>
            <w:pPr>
              <w:pStyle w:val="PlainText"/>
              <w:widowControl w:val="false"/>
              <w:jc w:val="right"/>
              <w:rPr>
                <w:rFonts w:ascii="Calibri" w:hAnsi="Calibri" w:cs="Calibri"/>
                <w:sz w:val="22"/>
                <w:szCs w:val="22"/>
              </w:rPr>
            </w:pPr>
            <w:r>
              <w:rPr>
                <w:rFonts w:cs="Calibri" w:ascii="Calibri" w:hAnsi="Calibri"/>
                <w:sz w:val="22"/>
                <w:szCs w:val="22"/>
              </w:rPr>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de tresoreria per a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 xml:space="preserve"> </w:t>
            </w:r>
            <w:r>
              <w:rPr>
                <w:rFonts w:cs="Calibri" w:ascii="Calibri" w:hAnsi="Calibri"/>
                <w:sz w:val="22"/>
                <w:szCs w:val="22"/>
              </w:rPr>
              <w:t>13.287,75</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Quantitat utilitzada a càrrec del romanent de tresoreria per despeses generals</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0,00</w:t>
            </w:r>
          </w:p>
        </w:tc>
      </w:tr>
      <w:tr>
        <w:trPr/>
        <w:tc>
          <w:tcPr>
            <w:tcW w:w="6010" w:type="dxa"/>
            <w:tcBorders/>
            <w:shd w:color="auto" w:fill="auto" w:val="clear"/>
            <w:vAlign w:val="center"/>
          </w:tcPr>
          <w:p>
            <w:pPr>
              <w:pStyle w:val="PlainText"/>
              <w:widowControl w:val="false"/>
              <w:jc w:val="both"/>
              <w:rPr>
                <w:rFonts w:ascii="Calibri" w:hAnsi="Calibri" w:cs="Calibri"/>
                <w:sz w:val="22"/>
                <w:szCs w:val="22"/>
              </w:rPr>
            </w:pPr>
            <w:r>
              <w:rPr>
                <w:rFonts w:cs="Calibri" w:ascii="Calibri" w:hAnsi="Calibri"/>
                <w:sz w:val="22"/>
                <w:szCs w:val="22"/>
              </w:rPr>
              <w:t>Romanent disponible</w:t>
            </w:r>
          </w:p>
        </w:tc>
        <w:tc>
          <w:tcPr>
            <w:tcW w:w="1776" w:type="dxa"/>
            <w:tcBorders/>
            <w:shd w:color="auto" w:fill="auto" w:val="clear"/>
            <w:vAlign w:val="center"/>
          </w:tcPr>
          <w:p>
            <w:pPr>
              <w:pStyle w:val="PlainText"/>
              <w:widowControl w:val="false"/>
              <w:jc w:val="right"/>
              <w:rPr>
                <w:rFonts w:ascii="Calibri" w:hAnsi="Calibri" w:cs="Calibri"/>
                <w:sz w:val="22"/>
                <w:szCs w:val="22"/>
              </w:rPr>
            </w:pPr>
            <w:r>
              <w:rPr>
                <w:rFonts w:cs="Calibri" w:ascii="Calibri" w:hAnsi="Calibri"/>
                <w:sz w:val="22"/>
                <w:szCs w:val="22"/>
              </w:rPr>
              <w:t>13.287,75</w:t>
            </w:r>
          </w:p>
        </w:tc>
      </w:tr>
    </w:tbl>
    <w:p>
      <w:pPr>
        <w:pStyle w:val="PlainText"/>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rPr>
      </w:pPr>
      <w:r>
        <w:rPr>
          <w:rFonts w:cs="Calibri" w:ascii="Calibri" w:hAnsi="Calibri"/>
          <w:sz w:val="22"/>
          <w:szCs w:val="22"/>
        </w:rPr>
        <w:t>Cal destacar que, si del romanent disponible de 13.287,75 €, restem l’import de les factures pendents d’aplicar a pressupost, que figuren al compte 413, que sumen un total de 4.916,09 € i que s’haurà de reconèixer extrajudicialment modificant el pressupost 2023 amb càrrec a romanent de 2022 o bé incloent-les en el pressupost del 2023, ens queda un romanent disponible final de 8.371,66 €.</w:t>
      </w:r>
    </w:p>
    <w:p>
      <w:pPr>
        <w:pStyle w:val="PlainText"/>
        <w:ind w:firstLine="360"/>
        <w:jc w:val="both"/>
        <w:rPr>
          <w:rFonts w:ascii="Calibri" w:hAnsi="Calibri" w:cs="Calibri"/>
          <w:sz w:val="22"/>
          <w:szCs w:val="22"/>
        </w:rPr>
      </w:pPr>
      <w:r>
        <w:rPr>
          <w:rFonts w:cs="Calibri" w:ascii="Calibri" w:hAnsi="Calibri"/>
          <w:sz w:val="22"/>
          <w:szCs w:val="22"/>
        </w:rPr>
      </w:r>
    </w:p>
    <w:p>
      <w:pPr>
        <w:pStyle w:val="PlainText"/>
        <w:jc w:val="both"/>
        <w:rPr>
          <w:rFonts w:ascii="Calibri" w:hAnsi="Calibri" w:cs="Calibri"/>
          <w:sz w:val="22"/>
          <w:szCs w:val="22"/>
        </w:rPr>
      </w:pPr>
      <w:r>
        <w:rPr>
          <w:rFonts w:cs="Calibri" w:ascii="Calibri" w:hAnsi="Calibri"/>
          <w:sz w:val="22"/>
          <w:szCs w:val="22"/>
        </w:rPr>
      </w:r>
    </w:p>
    <w:p>
      <w:pPr>
        <w:pStyle w:val="PlainText"/>
        <w:ind w:firstLine="708"/>
        <w:jc w:val="both"/>
        <w:rPr>
          <w:rFonts w:ascii="Calibri" w:hAnsi="Calibri" w:cs="Calibri"/>
          <w:sz w:val="22"/>
          <w:szCs w:val="22"/>
          <w:highlight w:val="yellow"/>
        </w:rPr>
      </w:pPr>
      <w:r>
        <w:rPr>
          <w:rFonts w:cs="Calibri" w:ascii="Calibri" w:hAnsi="Calibri"/>
          <w:sz w:val="22"/>
          <w:szCs w:val="22"/>
        </w:rPr>
        <w:t xml:space="preserve">EL BATLE,    </w:t>
        <w:tab/>
        <w:tab/>
        <w:tab/>
        <w:tab/>
        <w:tab/>
        <w:tab/>
        <w:tab/>
        <w:t xml:space="preserve">  EL SECRETARI INTERVENTOR,</w:t>
      </w:r>
    </w:p>
    <w:sectPr>
      <w:type w:val="nextPage"/>
      <w:pgSz w:w="11906" w:h="16838"/>
      <w:pgMar w:left="1151" w:right="1151" w:header="0" w:top="2945" w:footer="0" w:bottom="1276"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Liberation Sans">
    <w:altName w:val="Arial"/>
    <w:charset w:val="00"/>
    <w:family w:val="swiss"/>
    <w:pitch w:val="variable"/>
  </w:font>
  <w:font w:name="Tahoma">
    <w:charset w:val="00"/>
    <w:family w:val="roman"/>
    <w:pitch w:val="variable"/>
  </w:font>
  <w:font w:name="Courier">
    <w:altName w:val="Courier New"/>
    <w:charset w:val="00"/>
    <w:family w:val="roman"/>
    <w:pitch w:val="variable"/>
  </w:font>
  <w:font w:name="Arial">
    <w:charset w:val="00"/>
    <w:family w:val="roman"/>
    <w:pitch w:val="variable"/>
  </w:font>
  <w:font w:name="Calibri">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
    <w:lvl w:ilvl="0">
      <w:start w:val="1"/>
      <w:numFmt w:val="decimal"/>
      <w:lvlText w:val="%1."/>
      <w:lvlJc w:val="left"/>
      <w:pPr>
        <w:tabs>
          <w:tab w:val="num" w:pos="0"/>
        </w:tabs>
        <w:ind w:left="1260" w:hanging="360"/>
      </w:pPr>
      <w:rPr>
        <w:color w:val="000000"/>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a-ES" w:eastAsia="ca-E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e7133"/>
    <w:pPr>
      <w:widowControl/>
      <w:bidi w:val="0"/>
      <w:spacing w:before="0" w:after="0"/>
      <w:jc w:val="left"/>
    </w:pPr>
    <w:rPr>
      <w:rFonts w:ascii="Times New Roman" w:hAnsi="Times New Roman" w:eastAsia="Times New Roman" w:cs="Times New Roman"/>
      <w:color w:val="auto"/>
      <w:kern w:val="0"/>
      <w:sz w:val="24"/>
      <w:szCs w:val="24"/>
      <w:lang w:eastAsia="es-ES" w:val="ca-ES" w:bidi="ar-SA"/>
    </w:rPr>
  </w:style>
  <w:style w:type="paragraph" w:styleId="Encapalament1">
    <w:name w:val="Heading 1"/>
    <w:basedOn w:val="Normal"/>
    <w:next w:val="Normal"/>
    <w:qFormat/>
    <w:pPr>
      <w:keepNext w:val="true"/>
      <w:outlineLvl w:val="0"/>
    </w:pPr>
    <w:rPr>
      <w:b/>
      <w:szCs w:val="20"/>
      <w:lang w:val="es-ES_tradnl"/>
    </w:rPr>
  </w:style>
  <w:style w:type="paragraph" w:styleId="Encapalament2">
    <w:name w:val="Heading 2"/>
    <w:basedOn w:val="Normal"/>
    <w:next w:val="Normal"/>
    <w:qFormat/>
    <w:pPr>
      <w:keepNext w:val="true"/>
      <w:jc w:val="center"/>
      <w:outlineLvl w:val="1"/>
    </w:pPr>
    <w:rPr>
      <w:b/>
      <w:szCs w:val="20"/>
      <w:lang w:val="es-ES_tradnl"/>
    </w:rPr>
  </w:style>
  <w:style w:type="character" w:styleId="DefaultParagraphFont" w:default="1">
    <w:name w:val="Default Paragraph Font"/>
    <w:uiPriority w:val="1"/>
    <w:semiHidden/>
    <w:unhideWhenUsed/>
    <w:qFormat/>
    <w:rPr/>
  </w:style>
  <w:style w:type="character" w:styleId="TextosinformatoCar" w:customStyle="1">
    <w:name w:val="Texto sin formato Car"/>
    <w:link w:val="Textosinformato"/>
    <w:qFormat/>
    <w:rsid w:val="00ee7133"/>
    <w:rPr>
      <w:rFonts w:ascii="Courier New" w:hAnsi="Courier New"/>
      <w:lang w:eastAsia="es-ES"/>
    </w:rPr>
  </w:style>
  <w:style w:type="character" w:styleId="EncabezadoCar" w:customStyle="1">
    <w:name w:val="Encabezado Car"/>
    <w:link w:val="Encabezado"/>
    <w:qFormat/>
    <w:rsid w:val="008123a1"/>
    <w:rPr>
      <w:sz w:val="24"/>
      <w:szCs w:val="24"/>
      <w:lang w:eastAsia="es-ES"/>
    </w:rPr>
  </w:style>
  <w:style w:type="character" w:styleId="PiedepginaCar" w:customStyle="1">
    <w:name w:val="Pie de página Car"/>
    <w:link w:val="Piedepgina"/>
    <w:qFormat/>
    <w:rsid w:val="008123a1"/>
    <w:rPr>
      <w:sz w:val="24"/>
      <w:szCs w:val="24"/>
      <w:lang w:eastAsia="es-ES"/>
    </w:rPr>
  </w:style>
  <w:style w:type="character" w:styleId="Mfasi">
    <w:name w:val="Èmfasi"/>
    <w:uiPriority w:val="20"/>
    <w:qFormat/>
    <w:rsid w:val="00aa2d90"/>
    <w:rPr>
      <w:i/>
      <w:iCs/>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PlainText">
    <w:name w:val="Plain Text"/>
    <w:basedOn w:val="Normal"/>
    <w:link w:val="TextosinformatoCar"/>
    <w:qFormat/>
    <w:pPr/>
    <w:rPr>
      <w:rFonts w:ascii="Courier New" w:hAnsi="Courier New"/>
      <w:sz w:val="20"/>
      <w:szCs w:val="20"/>
    </w:rPr>
  </w:style>
  <w:style w:type="paragraph" w:styleId="BalloonText">
    <w:name w:val="Balloon Text"/>
    <w:basedOn w:val="Normal"/>
    <w:semiHidden/>
    <w:qFormat/>
    <w:rsid w:val="00c932ca"/>
    <w:pPr/>
    <w:rPr>
      <w:rFonts w:ascii="Tahoma" w:hAnsi="Tahoma" w:cs="Tahoma"/>
      <w:sz w:val="16"/>
      <w:szCs w:val="16"/>
    </w:rPr>
  </w:style>
  <w:style w:type="paragraph" w:styleId="Estndar" w:customStyle="1">
    <w:name w:val="Estándar"/>
    <w:qFormat/>
    <w:rsid w:val="009634e3"/>
    <w:pPr>
      <w:widowControl w:val="false"/>
      <w:bidi w:val="0"/>
      <w:spacing w:before="0" w:after="0"/>
      <w:jc w:val="both"/>
    </w:pPr>
    <w:rPr>
      <w:rFonts w:ascii="Courier" w:hAnsi="Courier" w:eastAsia="Times New Roman" w:cs="Times New Roman"/>
      <w:color w:val="auto"/>
      <w:kern w:val="0"/>
      <w:sz w:val="20"/>
      <w:szCs w:val="20"/>
      <w:lang w:val="es-ES_tradnl" w:eastAsia="es-ES" w:bidi="ar-SA"/>
    </w:rPr>
  </w:style>
  <w:style w:type="paragraph" w:styleId="Capaleraipeu">
    <w:name w:val="Capçalera i peu"/>
    <w:basedOn w:val="Normal"/>
    <w:qFormat/>
    <w:pPr/>
    <w:rPr/>
  </w:style>
  <w:style w:type="paragraph" w:styleId="Capalera">
    <w:name w:val="Header"/>
    <w:basedOn w:val="Normal"/>
    <w:link w:val="EncabezadoCar"/>
    <w:rsid w:val="008123a1"/>
    <w:pPr>
      <w:tabs>
        <w:tab w:val="clear" w:pos="708"/>
        <w:tab w:val="center" w:pos="4252" w:leader="none"/>
        <w:tab w:val="right" w:pos="8504" w:leader="none"/>
      </w:tabs>
    </w:pPr>
    <w:rPr/>
  </w:style>
  <w:style w:type="paragraph" w:styleId="Peudepgina">
    <w:name w:val="Footer"/>
    <w:basedOn w:val="Normal"/>
    <w:link w:val="PiedepginaCar"/>
    <w:rsid w:val="008123a1"/>
    <w:pPr>
      <w:tabs>
        <w:tab w:val="clear" w:pos="708"/>
        <w:tab w:val="center" w:pos="4252" w:leader="none"/>
        <w:tab w:val="right" w:pos="8504" w:leader="none"/>
      </w:tabs>
    </w:pPr>
    <w:rPr/>
  </w:style>
  <w:style w:type="paragraph" w:styleId="Default" w:customStyle="1">
    <w:name w:val="Default"/>
    <w:qFormat/>
    <w:rsid w:val="00002b53"/>
    <w:pPr>
      <w:widowControl/>
      <w:bidi w:val="0"/>
      <w:spacing w:before="0" w:after="0"/>
      <w:jc w:val="left"/>
    </w:pPr>
    <w:rPr>
      <w:rFonts w:ascii="Arial" w:hAnsi="Arial" w:cs="Arial" w:eastAsia="Times New Roman"/>
      <w:color w:val="000000"/>
      <w:kern w:val="0"/>
      <w:sz w:val="24"/>
      <w:szCs w:val="24"/>
      <w:lang w:val="es-ES" w:eastAsia="ca-ES" w:bidi="ar-SA"/>
    </w:rPr>
  </w:style>
  <w:style w:type="paragraph" w:styleId="Pa11" w:customStyle="1">
    <w:name w:val="Pa11"/>
    <w:basedOn w:val="Default"/>
    <w:next w:val="Default"/>
    <w:uiPriority w:val="99"/>
    <w:qFormat/>
    <w:rsid w:val="00002b53"/>
    <w:pPr>
      <w:spacing w:lineRule="atLeast" w:line="201"/>
    </w:pPr>
    <w:rPr>
      <w:color w:val="auto"/>
    </w:rPr>
  </w:style>
  <w:style w:type="paragraph" w:styleId="Pa12" w:customStyle="1">
    <w:name w:val="Pa12"/>
    <w:basedOn w:val="Default"/>
    <w:next w:val="Default"/>
    <w:uiPriority w:val="99"/>
    <w:qFormat/>
    <w:rsid w:val="00002b53"/>
    <w:pPr>
      <w:spacing w:lineRule="atLeast" w:line="201"/>
    </w:pPr>
    <w:rPr>
      <w:color w:val="auto"/>
    </w:rPr>
  </w:style>
  <w:style w:type="paragraph" w:styleId="NormalWeb">
    <w:name w:val="Normal (Web)"/>
    <w:basedOn w:val="Normal"/>
    <w:uiPriority w:val="99"/>
    <w:unhideWhenUsed/>
    <w:qFormat/>
    <w:rsid w:val="00aa2d90"/>
    <w:pPr>
      <w:spacing w:beforeAutospacing="1" w:afterAutospacing="1"/>
    </w:pPr>
    <w:rPr>
      <w:lang w:val="es-ES"/>
    </w:rPr>
  </w:style>
  <w:style w:type="paragraph" w:styleId="ListParagraph">
    <w:name w:val="List Paragraph"/>
    <w:basedOn w:val="Normal"/>
    <w:uiPriority w:val="34"/>
    <w:qFormat/>
    <w:rsid w:val="00a30483"/>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3805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463E3AC-E776-44EE-AE4B-CDB8CDE6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Application>LibreOffice/7.0.0.3$Windows_X86_64 LibreOffice_project/8061b3e9204bef6b321a21033174034a5e2ea88e</Application>
  <Pages>16</Pages>
  <Words>2557</Words>
  <Characters>14351</Characters>
  <CharactersWithSpaces>16938</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2021-07-08T09:13:00Z</dcterms:created>
  <dc:creator>.</dc:creator>
  <dc:description/>
  <dc:language>ca-ES</dc:language>
  <cp:lastModifiedBy>Sonia Hernández</cp:lastModifiedBy>
  <cp:lastPrinted>2014-03-26T11:09:00Z</cp:lastPrinted>
  <dcterms:modified xsi:type="dcterms:W3CDTF">2023-08-09T04:36:00Z</dcterms:modified>
  <cp:revision>18</cp:revision>
  <dc:subject/>
  <dc:title>En                                            , Interventor de Fons d’aquesta Corporació, en compliment del que es disposa 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